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FB97" w14:textId="61AD3C7A" w:rsidR="00FC394C" w:rsidRPr="00D20A9A" w:rsidRDefault="00D20A9A" w:rsidP="005C792D">
      <w:pPr>
        <w:rPr>
          <w:b/>
          <w:smallCaps/>
          <w:sz w:val="20"/>
          <w:szCs w:val="20"/>
        </w:rPr>
      </w:pPr>
      <w:r w:rsidRPr="00D20A9A">
        <w:rPr>
          <w:b/>
          <w:smallCaps/>
          <w:sz w:val="20"/>
          <w:szCs w:val="20"/>
        </w:rPr>
        <w:t>Career Summary</w:t>
      </w:r>
    </w:p>
    <w:p w14:paraId="4088B8FB" w14:textId="4E1AB4B3" w:rsidR="00FC394C" w:rsidRPr="00335545" w:rsidRDefault="00FC394C" w:rsidP="005C792D">
      <w:pPr>
        <w:rPr>
          <w:sz w:val="20"/>
          <w:szCs w:val="20"/>
        </w:rPr>
      </w:pPr>
      <w:r w:rsidRPr="00335545">
        <w:rPr>
          <w:sz w:val="20"/>
          <w:szCs w:val="20"/>
        </w:rPr>
        <w:t xml:space="preserve">Highly qualified leader with more than </w:t>
      </w:r>
      <w:r w:rsidR="00D20A9A">
        <w:rPr>
          <w:sz w:val="20"/>
          <w:szCs w:val="20"/>
        </w:rPr>
        <w:t>six</w:t>
      </w:r>
      <w:r w:rsidRPr="00335545">
        <w:rPr>
          <w:sz w:val="20"/>
          <w:szCs w:val="20"/>
        </w:rPr>
        <w:t xml:space="preserve"> </w:t>
      </w:r>
      <w:proofErr w:type="spellStart"/>
      <w:r w:rsidRPr="00335545">
        <w:rPr>
          <w:sz w:val="20"/>
          <w:szCs w:val="20"/>
        </w:rPr>
        <w:t>years experience</w:t>
      </w:r>
      <w:proofErr w:type="spellEnd"/>
      <w:r w:rsidRPr="00335545">
        <w:rPr>
          <w:sz w:val="20"/>
          <w:szCs w:val="20"/>
        </w:rPr>
        <w:t xml:space="preserve"> in </w:t>
      </w:r>
      <w:r w:rsidR="009D6398">
        <w:rPr>
          <w:sz w:val="20"/>
          <w:szCs w:val="20"/>
        </w:rPr>
        <w:t>scientific research fields</w:t>
      </w:r>
      <w:r w:rsidRPr="00335545">
        <w:rPr>
          <w:sz w:val="20"/>
          <w:szCs w:val="20"/>
        </w:rPr>
        <w:t xml:space="preserve">. </w:t>
      </w:r>
      <w:r w:rsidR="00A91047">
        <w:rPr>
          <w:sz w:val="20"/>
          <w:szCs w:val="20"/>
        </w:rPr>
        <w:t>Disciplined problems solver with excellent communication and analytical skills.</w:t>
      </w:r>
    </w:p>
    <w:p w14:paraId="582D4907" w14:textId="77777777" w:rsidR="00FC394C" w:rsidRPr="00335545" w:rsidRDefault="00335545" w:rsidP="005C792D">
      <w:pPr>
        <w:tabs>
          <w:tab w:val="left" w:pos="2115"/>
        </w:tabs>
        <w:rPr>
          <w:sz w:val="20"/>
          <w:szCs w:val="20"/>
        </w:rPr>
      </w:pPr>
      <w:r w:rsidRPr="00335545">
        <w:rPr>
          <w:sz w:val="20"/>
          <w:szCs w:val="20"/>
        </w:rPr>
        <w:tab/>
      </w:r>
    </w:p>
    <w:p w14:paraId="5C577532" w14:textId="7CE6A205" w:rsidR="00FC394C" w:rsidRDefault="00D20A9A" w:rsidP="005C792D">
      <w:pPr>
        <w:rPr>
          <w:b/>
          <w:smallCaps/>
          <w:sz w:val="20"/>
          <w:szCs w:val="20"/>
        </w:rPr>
      </w:pPr>
      <w:r w:rsidRPr="00A91047">
        <w:rPr>
          <w:b/>
          <w:smallCaps/>
          <w:sz w:val="20"/>
          <w:szCs w:val="20"/>
        </w:rPr>
        <w:t>Education and Positions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176DCC" w:rsidRPr="00176DCC" w14:paraId="6D676E48" w14:textId="77777777" w:rsidTr="00176DCC">
        <w:trPr>
          <w:trHeight w:val="300"/>
        </w:trPr>
        <w:tc>
          <w:tcPr>
            <w:tcW w:w="1548" w:type="dxa"/>
            <w:vMerge w:val="restart"/>
            <w:shd w:val="clear" w:color="auto" w:fill="auto"/>
            <w:noWrap/>
            <w:hideMark/>
          </w:tcPr>
          <w:p w14:paraId="719D677D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2013 - 2018</w:t>
            </w:r>
          </w:p>
        </w:tc>
        <w:tc>
          <w:tcPr>
            <w:tcW w:w="8028" w:type="dxa"/>
            <w:shd w:val="clear" w:color="auto" w:fill="auto"/>
            <w:hideMark/>
          </w:tcPr>
          <w:p w14:paraId="3E982244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 xml:space="preserve">Bachelor of Science in Environmental Engineering </w:t>
            </w:r>
          </w:p>
        </w:tc>
      </w:tr>
      <w:tr w:rsidR="00176DCC" w:rsidRPr="00176DCC" w14:paraId="4F1084AD" w14:textId="77777777" w:rsidTr="00176DCC">
        <w:trPr>
          <w:trHeight w:val="300"/>
        </w:trPr>
        <w:tc>
          <w:tcPr>
            <w:tcW w:w="1548" w:type="dxa"/>
            <w:vMerge/>
            <w:shd w:val="clear" w:color="auto" w:fill="auto"/>
            <w:hideMark/>
          </w:tcPr>
          <w:p w14:paraId="33FEA95B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4BB3E2CC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Louisiana State University, Baton Rouge, Louisiana</w:t>
            </w:r>
          </w:p>
        </w:tc>
      </w:tr>
      <w:tr w:rsidR="00176DCC" w:rsidRPr="00176DCC" w14:paraId="5D5D5DE6" w14:textId="77777777" w:rsidTr="00176DCC">
        <w:trPr>
          <w:trHeight w:val="422"/>
        </w:trPr>
        <w:tc>
          <w:tcPr>
            <w:tcW w:w="1548" w:type="dxa"/>
            <w:vMerge/>
            <w:shd w:val="clear" w:color="auto" w:fill="auto"/>
            <w:hideMark/>
          </w:tcPr>
          <w:p w14:paraId="47BEAF26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79521786" w14:textId="0DF3FC1E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  <w:r w:rsidRPr="00176DCC">
              <w:rPr>
                <w:bCs/>
                <w:i/>
                <w:iCs/>
                <w:sz w:val="20"/>
                <w:szCs w:val="20"/>
              </w:rPr>
              <w:t xml:space="preserve">Thesis: Assessing the Impact of Urban Flooding on Vulnerable Populations in New Orleans </w:t>
            </w:r>
            <w:r w:rsidR="00270C74" w:rsidRPr="00176DCC">
              <w:rPr>
                <w:bCs/>
                <w:i/>
                <w:iCs/>
                <w:sz w:val="20"/>
                <w:szCs w:val="20"/>
              </w:rPr>
              <w:t>u</w:t>
            </w:r>
            <w:r w:rsidRPr="00176DCC">
              <w:rPr>
                <w:bCs/>
                <w:i/>
                <w:iCs/>
                <w:sz w:val="20"/>
                <w:szCs w:val="20"/>
              </w:rPr>
              <w:t>sing the Internet of Things</w:t>
            </w:r>
          </w:p>
        </w:tc>
      </w:tr>
      <w:tr w:rsidR="00176DCC" w:rsidRPr="00176DCC" w14:paraId="4E6A343E" w14:textId="77777777" w:rsidTr="00176DCC">
        <w:trPr>
          <w:trHeight w:val="61"/>
        </w:trPr>
        <w:tc>
          <w:tcPr>
            <w:tcW w:w="1548" w:type="dxa"/>
            <w:shd w:val="clear" w:color="auto" w:fill="auto"/>
            <w:noWrap/>
            <w:hideMark/>
          </w:tcPr>
          <w:p w14:paraId="61E821E3" w14:textId="77777777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2168D96F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</w:tr>
      <w:tr w:rsidR="00176DCC" w:rsidRPr="00176DCC" w14:paraId="5236B327" w14:textId="77777777" w:rsidTr="00176DCC">
        <w:trPr>
          <w:trHeight w:val="300"/>
        </w:trPr>
        <w:tc>
          <w:tcPr>
            <w:tcW w:w="1548" w:type="dxa"/>
            <w:vMerge w:val="restart"/>
            <w:shd w:val="clear" w:color="auto" w:fill="auto"/>
            <w:noWrap/>
            <w:hideMark/>
          </w:tcPr>
          <w:p w14:paraId="5B62FBD9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2010-2011</w:t>
            </w:r>
          </w:p>
        </w:tc>
        <w:tc>
          <w:tcPr>
            <w:tcW w:w="8028" w:type="dxa"/>
            <w:shd w:val="clear" w:color="auto" w:fill="auto"/>
            <w:hideMark/>
          </w:tcPr>
          <w:p w14:paraId="7F649F0D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Honors Graduate, United States Marine Corps Leadership Academy</w:t>
            </w:r>
          </w:p>
        </w:tc>
      </w:tr>
      <w:tr w:rsidR="00176DCC" w:rsidRPr="00176DCC" w14:paraId="203C2D83" w14:textId="77777777" w:rsidTr="00176DCC">
        <w:trPr>
          <w:trHeight w:val="300"/>
        </w:trPr>
        <w:tc>
          <w:tcPr>
            <w:tcW w:w="1548" w:type="dxa"/>
            <w:vMerge/>
            <w:shd w:val="clear" w:color="auto" w:fill="auto"/>
            <w:hideMark/>
          </w:tcPr>
          <w:p w14:paraId="1783BBB5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33C4CEBE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Infantry Squad Leader Course, Camp Pendleton, California</w:t>
            </w:r>
          </w:p>
        </w:tc>
      </w:tr>
      <w:tr w:rsidR="00176DCC" w:rsidRPr="00176DCC" w14:paraId="4DE91C7D" w14:textId="77777777" w:rsidTr="00D12BF1">
        <w:trPr>
          <w:trHeight w:val="324"/>
        </w:trPr>
        <w:tc>
          <w:tcPr>
            <w:tcW w:w="1548" w:type="dxa"/>
            <w:vMerge/>
            <w:shd w:val="clear" w:color="auto" w:fill="auto"/>
            <w:hideMark/>
          </w:tcPr>
          <w:p w14:paraId="3FAAAFF0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122C709E" w14:textId="194A5D79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  <w:r w:rsidRPr="00176DCC">
              <w:rPr>
                <w:bCs/>
                <w:i/>
                <w:iCs/>
                <w:sz w:val="20"/>
                <w:szCs w:val="20"/>
              </w:rPr>
              <w:t>Curriculum focus: Leadership and poise during high stress situations. Emphasis on dynamic problem solving</w:t>
            </w:r>
            <w:r w:rsidR="000E6BE5" w:rsidRPr="00176DCC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76DCC" w:rsidRPr="00176DCC" w14:paraId="58BE1F68" w14:textId="77777777" w:rsidTr="00D12BF1">
        <w:trPr>
          <w:trHeight w:val="75"/>
        </w:trPr>
        <w:tc>
          <w:tcPr>
            <w:tcW w:w="1548" w:type="dxa"/>
            <w:shd w:val="clear" w:color="auto" w:fill="auto"/>
            <w:noWrap/>
            <w:hideMark/>
          </w:tcPr>
          <w:p w14:paraId="02F6BF01" w14:textId="77777777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4F0A49CD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</w:tr>
      <w:tr w:rsidR="00176DCC" w:rsidRPr="00176DCC" w14:paraId="2DAD027F" w14:textId="77777777" w:rsidTr="00176DCC">
        <w:trPr>
          <w:trHeight w:val="300"/>
        </w:trPr>
        <w:tc>
          <w:tcPr>
            <w:tcW w:w="1548" w:type="dxa"/>
            <w:vMerge w:val="restart"/>
            <w:shd w:val="clear" w:color="auto" w:fill="auto"/>
            <w:noWrap/>
            <w:hideMark/>
          </w:tcPr>
          <w:p w14:paraId="10C7B2C6" w14:textId="6DE4186F" w:rsidR="00EC3772" w:rsidRPr="00176DCC" w:rsidRDefault="00270C74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2014 - Present</w:t>
            </w:r>
          </w:p>
        </w:tc>
        <w:tc>
          <w:tcPr>
            <w:tcW w:w="8028" w:type="dxa"/>
            <w:shd w:val="clear" w:color="auto" w:fill="auto"/>
            <w:hideMark/>
          </w:tcPr>
          <w:p w14:paraId="58220F2C" w14:textId="5480E3C2" w:rsidR="00EC3772" w:rsidRPr="00176DCC" w:rsidRDefault="00270C74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Geospatial Scientist, Research Associate, Research Intern</w:t>
            </w:r>
          </w:p>
        </w:tc>
      </w:tr>
      <w:tr w:rsidR="00176DCC" w:rsidRPr="00176DCC" w14:paraId="65479C04" w14:textId="77777777" w:rsidTr="00176DCC">
        <w:trPr>
          <w:trHeight w:val="300"/>
        </w:trPr>
        <w:tc>
          <w:tcPr>
            <w:tcW w:w="1548" w:type="dxa"/>
            <w:vMerge/>
            <w:shd w:val="clear" w:color="auto" w:fill="auto"/>
            <w:hideMark/>
          </w:tcPr>
          <w:p w14:paraId="6145911C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44DCCA3F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The Water Institute of the Gulf, Baton Rouge, Louisiana</w:t>
            </w:r>
          </w:p>
        </w:tc>
      </w:tr>
      <w:tr w:rsidR="00176DCC" w:rsidRPr="00176DCC" w14:paraId="05590E05" w14:textId="77777777" w:rsidTr="00176DCC">
        <w:trPr>
          <w:trHeight w:val="431"/>
        </w:trPr>
        <w:tc>
          <w:tcPr>
            <w:tcW w:w="1548" w:type="dxa"/>
            <w:vMerge/>
            <w:shd w:val="clear" w:color="auto" w:fill="auto"/>
            <w:hideMark/>
          </w:tcPr>
          <w:p w14:paraId="07392A16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37103F4C" w14:textId="5E36ED2A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  <w:r w:rsidRPr="00176DCC">
              <w:rPr>
                <w:bCs/>
                <w:i/>
                <w:iCs/>
                <w:sz w:val="20"/>
                <w:szCs w:val="20"/>
              </w:rPr>
              <w:t xml:space="preserve">Role requirements: Geospatial analysis, research, and narrative building for scientific communication. </w:t>
            </w:r>
            <w:r w:rsidR="000E6BE5" w:rsidRPr="00176DCC">
              <w:rPr>
                <w:bCs/>
                <w:i/>
                <w:iCs/>
                <w:sz w:val="20"/>
                <w:szCs w:val="20"/>
              </w:rPr>
              <w:t>Administration</w:t>
            </w:r>
            <w:r w:rsidRPr="00176DCC">
              <w:rPr>
                <w:bCs/>
                <w:i/>
                <w:iCs/>
                <w:sz w:val="20"/>
                <w:szCs w:val="20"/>
              </w:rPr>
              <w:t xml:space="preserve"> of web GIS platforms and quality control of cartographic products.</w:t>
            </w:r>
          </w:p>
        </w:tc>
      </w:tr>
      <w:tr w:rsidR="00176DCC" w:rsidRPr="00176DCC" w14:paraId="09B8A3F8" w14:textId="77777777" w:rsidTr="00176DCC">
        <w:trPr>
          <w:trHeight w:val="61"/>
        </w:trPr>
        <w:tc>
          <w:tcPr>
            <w:tcW w:w="1548" w:type="dxa"/>
            <w:shd w:val="clear" w:color="auto" w:fill="auto"/>
            <w:noWrap/>
            <w:hideMark/>
          </w:tcPr>
          <w:p w14:paraId="447B8D43" w14:textId="77777777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52E72D10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</w:tr>
      <w:tr w:rsidR="00176DCC" w:rsidRPr="00176DCC" w14:paraId="55B2FD7B" w14:textId="77777777" w:rsidTr="00176DCC">
        <w:trPr>
          <w:trHeight w:val="300"/>
        </w:trPr>
        <w:tc>
          <w:tcPr>
            <w:tcW w:w="1548" w:type="dxa"/>
            <w:vMerge w:val="restart"/>
            <w:shd w:val="clear" w:color="auto" w:fill="auto"/>
            <w:noWrap/>
            <w:hideMark/>
          </w:tcPr>
          <w:p w14:paraId="0B771CD1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2012 - 2013</w:t>
            </w:r>
          </w:p>
        </w:tc>
        <w:tc>
          <w:tcPr>
            <w:tcW w:w="8028" w:type="dxa"/>
            <w:shd w:val="clear" w:color="auto" w:fill="auto"/>
            <w:hideMark/>
          </w:tcPr>
          <w:p w14:paraId="7399287B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Process Technician</w:t>
            </w:r>
          </w:p>
        </w:tc>
      </w:tr>
      <w:tr w:rsidR="00176DCC" w:rsidRPr="00176DCC" w14:paraId="052861C6" w14:textId="77777777" w:rsidTr="00176DCC">
        <w:trPr>
          <w:trHeight w:val="300"/>
        </w:trPr>
        <w:tc>
          <w:tcPr>
            <w:tcW w:w="1548" w:type="dxa"/>
            <w:vMerge/>
            <w:shd w:val="clear" w:color="auto" w:fill="auto"/>
            <w:hideMark/>
          </w:tcPr>
          <w:p w14:paraId="4EB328D5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4A32425A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Jacobs Engineering, Exxon Refinery Alliance Group, Baton Rouge, Louisiana</w:t>
            </w:r>
          </w:p>
        </w:tc>
      </w:tr>
      <w:tr w:rsidR="00176DCC" w:rsidRPr="00176DCC" w14:paraId="325CE4FD" w14:textId="77777777" w:rsidTr="00176DCC">
        <w:trPr>
          <w:trHeight w:val="467"/>
        </w:trPr>
        <w:tc>
          <w:tcPr>
            <w:tcW w:w="1548" w:type="dxa"/>
            <w:vMerge/>
            <w:shd w:val="clear" w:color="auto" w:fill="auto"/>
            <w:hideMark/>
          </w:tcPr>
          <w:p w14:paraId="793B8BB1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7C6B104A" w14:textId="77777777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  <w:r w:rsidRPr="00176DCC">
              <w:rPr>
                <w:bCs/>
                <w:i/>
                <w:iCs/>
                <w:sz w:val="20"/>
                <w:szCs w:val="20"/>
              </w:rPr>
              <w:t xml:space="preserve">Role requirements: Intensive analytical research on major turnaround projects for Exxon. Upstream and downstream communication and ideation. </w:t>
            </w:r>
          </w:p>
        </w:tc>
      </w:tr>
      <w:tr w:rsidR="00176DCC" w:rsidRPr="00176DCC" w14:paraId="7796933D" w14:textId="77777777" w:rsidTr="00176DCC">
        <w:trPr>
          <w:trHeight w:val="61"/>
        </w:trPr>
        <w:tc>
          <w:tcPr>
            <w:tcW w:w="1548" w:type="dxa"/>
            <w:shd w:val="clear" w:color="auto" w:fill="auto"/>
            <w:noWrap/>
            <w:hideMark/>
          </w:tcPr>
          <w:p w14:paraId="30C98C5D" w14:textId="77777777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3F1A8614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</w:tr>
      <w:tr w:rsidR="00176DCC" w:rsidRPr="00176DCC" w14:paraId="7B36B7F9" w14:textId="77777777" w:rsidTr="00176DCC">
        <w:trPr>
          <w:trHeight w:val="300"/>
        </w:trPr>
        <w:tc>
          <w:tcPr>
            <w:tcW w:w="1548" w:type="dxa"/>
            <w:vMerge w:val="restart"/>
            <w:shd w:val="clear" w:color="auto" w:fill="auto"/>
            <w:noWrap/>
            <w:hideMark/>
          </w:tcPr>
          <w:p w14:paraId="669B9387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2008-2012</w:t>
            </w:r>
          </w:p>
        </w:tc>
        <w:tc>
          <w:tcPr>
            <w:tcW w:w="8028" w:type="dxa"/>
            <w:shd w:val="clear" w:color="auto" w:fill="auto"/>
            <w:hideMark/>
          </w:tcPr>
          <w:p w14:paraId="7977925B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United State Marine Corps: Infantry Section Leader, Weapons Platoon Sergeant</w:t>
            </w:r>
          </w:p>
        </w:tc>
      </w:tr>
      <w:tr w:rsidR="00176DCC" w:rsidRPr="00176DCC" w14:paraId="1C0476A2" w14:textId="77777777" w:rsidTr="00176DCC">
        <w:trPr>
          <w:trHeight w:val="300"/>
        </w:trPr>
        <w:tc>
          <w:tcPr>
            <w:tcW w:w="1548" w:type="dxa"/>
            <w:vMerge/>
            <w:shd w:val="clear" w:color="auto" w:fill="auto"/>
            <w:hideMark/>
          </w:tcPr>
          <w:p w14:paraId="7D3CC2AA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1F04F3AA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3rd Battalion, 4th Marine Regiment, Twentynine Palms, California</w:t>
            </w:r>
          </w:p>
        </w:tc>
      </w:tr>
      <w:tr w:rsidR="00176DCC" w:rsidRPr="00176DCC" w14:paraId="64106755" w14:textId="77777777" w:rsidTr="00176DCC">
        <w:trPr>
          <w:trHeight w:val="485"/>
        </w:trPr>
        <w:tc>
          <w:tcPr>
            <w:tcW w:w="1548" w:type="dxa"/>
            <w:vMerge/>
            <w:shd w:val="clear" w:color="auto" w:fill="auto"/>
            <w:hideMark/>
          </w:tcPr>
          <w:p w14:paraId="7247EF54" w14:textId="77777777" w:rsidR="00EC3772" w:rsidRPr="00176DCC" w:rsidRDefault="00EC3772">
            <w:pPr>
              <w:rPr>
                <w:bCs/>
                <w:sz w:val="20"/>
                <w:szCs w:val="20"/>
              </w:rPr>
            </w:pPr>
          </w:p>
        </w:tc>
        <w:tc>
          <w:tcPr>
            <w:tcW w:w="8028" w:type="dxa"/>
            <w:shd w:val="clear" w:color="auto" w:fill="auto"/>
            <w:hideMark/>
          </w:tcPr>
          <w:p w14:paraId="4CB5587C" w14:textId="6D4BD9DB" w:rsidR="00EC3772" w:rsidRPr="00176DCC" w:rsidRDefault="00EC3772">
            <w:pPr>
              <w:rPr>
                <w:bCs/>
                <w:i/>
                <w:iCs/>
                <w:sz w:val="20"/>
                <w:szCs w:val="20"/>
              </w:rPr>
            </w:pPr>
            <w:r w:rsidRPr="00176DCC">
              <w:rPr>
                <w:bCs/>
                <w:i/>
                <w:iCs/>
                <w:sz w:val="20"/>
                <w:szCs w:val="20"/>
              </w:rPr>
              <w:t xml:space="preserve">Role requirements: Management </w:t>
            </w:r>
            <w:r w:rsidR="00270C74" w:rsidRPr="00176DCC">
              <w:rPr>
                <w:bCs/>
                <w:i/>
                <w:iCs/>
                <w:sz w:val="20"/>
                <w:szCs w:val="20"/>
              </w:rPr>
              <w:t xml:space="preserve">and control </w:t>
            </w:r>
            <w:r w:rsidRPr="00176DCC">
              <w:rPr>
                <w:bCs/>
                <w:i/>
                <w:iCs/>
                <w:sz w:val="20"/>
                <w:szCs w:val="20"/>
              </w:rPr>
              <w:t xml:space="preserve">of stressful situations. Command of section (15+ Marines) and platoon (45+ Marines) during consecutive combat deployments to Afghanistan. </w:t>
            </w:r>
          </w:p>
        </w:tc>
      </w:tr>
    </w:tbl>
    <w:p w14:paraId="31A5E9DA" w14:textId="77777777" w:rsidR="00270C74" w:rsidRDefault="00270C74" w:rsidP="005C792D">
      <w:pPr>
        <w:rPr>
          <w:b/>
          <w:bCs/>
          <w:smallCaps/>
          <w:sz w:val="20"/>
          <w:szCs w:val="20"/>
        </w:rPr>
      </w:pPr>
    </w:p>
    <w:p w14:paraId="02CFC80C" w14:textId="5616541E" w:rsidR="00D20A9A" w:rsidRDefault="00D20A9A" w:rsidP="005C792D">
      <w:pPr>
        <w:rPr>
          <w:b/>
          <w:bCs/>
          <w:smallCaps/>
          <w:sz w:val="20"/>
          <w:szCs w:val="20"/>
        </w:rPr>
      </w:pPr>
      <w:r w:rsidRPr="00A91047">
        <w:rPr>
          <w:b/>
          <w:bCs/>
          <w:smallCaps/>
          <w:sz w:val="20"/>
          <w:szCs w:val="20"/>
        </w:rPr>
        <w:t>Skills Resume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2708"/>
        <w:gridCol w:w="5320"/>
      </w:tblGrid>
      <w:tr w:rsidR="00176DCC" w:rsidRPr="00176DCC" w14:paraId="3A1398E2" w14:textId="77777777" w:rsidTr="00176DCC">
        <w:trPr>
          <w:trHeight w:val="170"/>
        </w:trPr>
        <w:tc>
          <w:tcPr>
            <w:tcW w:w="1548" w:type="dxa"/>
            <w:vMerge w:val="restart"/>
            <w:shd w:val="clear" w:color="auto" w:fill="auto"/>
            <w:noWrap/>
            <w:hideMark/>
          </w:tcPr>
          <w:p w14:paraId="34F925DC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Technical:</w:t>
            </w:r>
          </w:p>
        </w:tc>
        <w:tc>
          <w:tcPr>
            <w:tcW w:w="2708" w:type="dxa"/>
            <w:vMerge w:val="restart"/>
            <w:shd w:val="clear" w:color="auto" w:fill="auto"/>
            <w:hideMark/>
          </w:tcPr>
          <w:p w14:paraId="552E3EB7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Software:</w:t>
            </w:r>
          </w:p>
        </w:tc>
        <w:tc>
          <w:tcPr>
            <w:tcW w:w="5320" w:type="dxa"/>
            <w:shd w:val="clear" w:color="auto" w:fill="auto"/>
            <w:hideMark/>
          </w:tcPr>
          <w:p w14:paraId="6A28CB7E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Extensive: ArcGIS Enterprise, ArcGIS Pro, ArcMap, QGIS</w:t>
            </w:r>
          </w:p>
        </w:tc>
      </w:tr>
      <w:tr w:rsidR="00176DCC" w:rsidRPr="00176DCC" w14:paraId="308474F3" w14:textId="77777777" w:rsidTr="00176DCC">
        <w:trPr>
          <w:trHeight w:val="377"/>
        </w:trPr>
        <w:tc>
          <w:tcPr>
            <w:tcW w:w="1548" w:type="dxa"/>
            <w:vMerge/>
            <w:shd w:val="clear" w:color="auto" w:fill="auto"/>
            <w:hideMark/>
          </w:tcPr>
          <w:p w14:paraId="1CDCF676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hideMark/>
          </w:tcPr>
          <w:p w14:paraId="63E7D6F8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502EDA95" w14:textId="6B6F9183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 xml:space="preserve">Proficient: Adobe Creative Suite, </w:t>
            </w:r>
            <w:proofErr w:type="spellStart"/>
            <w:r w:rsidR="00176DCC" w:rsidRPr="00176DCC">
              <w:rPr>
                <w:sz w:val="20"/>
                <w:szCs w:val="20"/>
              </w:rPr>
              <w:t>jamovi</w:t>
            </w:r>
            <w:proofErr w:type="spellEnd"/>
            <w:r w:rsidR="00176DCC" w:rsidRPr="00176DCC">
              <w:rPr>
                <w:sz w:val="20"/>
                <w:szCs w:val="20"/>
              </w:rPr>
              <w:t xml:space="preserve">, </w:t>
            </w:r>
            <w:r w:rsidRPr="00176DCC">
              <w:rPr>
                <w:sz w:val="20"/>
                <w:szCs w:val="20"/>
              </w:rPr>
              <w:t>MapInfo, MATLAB, OpenStreetMap, RStudio</w:t>
            </w:r>
            <w:r w:rsidR="00176DCC" w:rsidRPr="00176DCC">
              <w:rPr>
                <w:sz w:val="20"/>
                <w:szCs w:val="20"/>
              </w:rPr>
              <w:t>, SPSS</w:t>
            </w:r>
          </w:p>
        </w:tc>
      </w:tr>
      <w:tr w:rsidR="00176DCC" w:rsidRPr="00176DCC" w14:paraId="79EEFF7B" w14:textId="77777777" w:rsidTr="00176DCC">
        <w:trPr>
          <w:trHeight w:val="61"/>
        </w:trPr>
        <w:tc>
          <w:tcPr>
            <w:tcW w:w="1548" w:type="dxa"/>
            <w:vMerge/>
            <w:shd w:val="clear" w:color="auto" w:fill="auto"/>
            <w:hideMark/>
          </w:tcPr>
          <w:p w14:paraId="64875A8D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14:paraId="37A9CFFB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089C9439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</w:tr>
      <w:tr w:rsidR="00176DCC" w:rsidRPr="00176DCC" w14:paraId="09A48A92" w14:textId="77777777" w:rsidTr="00176DCC">
        <w:trPr>
          <w:trHeight w:val="116"/>
        </w:trPr>
        <w:tc>
          <w:tcPr>
            <w:tcW w:w="1548" w:type="dxa"/>
            <w:vMerge/>
            <w:shd w:val="clear" w:color="auto" w:fill="auto"/>
            <w:hideMark/>
          </w:tcPr>
          <w:p w14:paraId="60CC1B66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vMerge w:val="restart"/>
            <w:shd w:val="clear" w:color="auto" w:fill="auto"/>
            <w:hideMark/>
          </w:tcPr>
          <w:p w14:paraId="114412DE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Programming Languages:</w:t>
            </w:r>
          </w:p>
        </w:tc>
        <w:tc>
          <w:tcPr>
            <w:tcW w:w="5320" w:type="dxa"/>
            <w:shd w:val="clear" w:color="auto" w:fill="auto"/>
            <w:hideMark/>
          </w:tcPr>
          <w:p w14:paraId="7B9476F5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Extensive: SQL, Python</w:t>
            </w:r>
          </w:p>
        </w:tc>
      </w:tr>
      <w:tr w:rsidR="00176DCC" w:rsidRPr="00176DCC" w14:paraId="46EF4BC6" w14:textId="77777777" w:rsidTr="00176DCC">
        <w:trPr>
          <w:trHeight w:val="161"/>
        </w:trPr>
        <w:tc>
          <w:tcPr>
            <w:tcW w:w="1548" w:type="dxa"/>
            <w:vMerge/>
            <w:shd w:val="clear" w:color="auto" w:fill="auto"/>
            <w:hideMark/>
          </w:tcPr>
          <w:p w14:paraId="0864B65E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hideMark/>
          </w:tcPr>
          <w:p w14:paraId="1AB4F7E3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2B967ABC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Proficient: MATLAB, R</w:t>
            </w:r>
          </w:p>
        </w:tc>
      </w:tr>
      <w:tr w:rsidR="00176DCC" w:rsidRPr="00176DCC" w14:paraId="6E668863" w14:textId="77777777" w:rsidTr="00176DCC">
        <w:trPr>
          <w:trHeight w:val="61"/>
        </w:trPr>
        <w:tc>
          <w:tcPr>
            <w:tcW w:w="1548" w:type="dxa"/>
            <w:vMerge/>
            <w:shd w:val="clear" w:color="auto" w:fill="auto"/>
            <w:hideMark/>
          </w:tcPr>
          <w:p w14:paraId="653ABDB9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14:paraId="198D5766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5E5E9AD3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</w:tr>
      <w:tr w:rsidR="00176DCC" w:rsidRPr="00176DCC" w14:paraId="1882E78F" w14:textId="77777777" w:rsidTr="00176DCC">
        <w:trPr>
          <w:trHeight w:val="188"/>
        </w:trPr>
        <w:tc>
          <w:tcPr>
            <w:tcW w:w="1548" w:type="dxa"/>
            <w:vMerge/>
            <w:shd w:val="clear" w:color="auto" w:fill="auto"/>
            <w:hideMark/>
          </w:tcPr>
          <w:p w14:paraId="6E8B21D7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14:paraId="6A9E3A40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Operating Systems:</w:t>
            </w:r>
          </w:p>
        </w:tc>
        <w:tc>
          <w:tcPr>
            <w:tcW w:w="5320" w:type="dxa"/>
            <w:shd w:val="clear" w:color="auto" w:fill="auto"/>
            <w:hideMark/>
          </w:tcPr>
          <w:p w14:paraId="532DA0E9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Extensive: macOS, Windows</w:t>
            </w:r>
          </w:p>
        </w:tc>
      </w:tr>
      <w:tr w:rsidR="00176DCC" w:rsidRPr="00176DCC" w14:paraId="4A66F9CD" w14:textId="77777777" w:rsidTr="00176DCC">
        <w:trPr>
          <w:trHeight w:val="61"/>
        </w:trPr>
        <w:tc>
          <w:tcPr>
            <w:tcW w:w="1548" w:type="dxa"/>
            <w:vMerge/>
            <w:shd w:val="clear" w:color="auto" w:fill="auto"/>
            <w:hideMark/>
          </w:tcPr>
          <w:p w14:paraId="70FA156A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14:paraId="451473C0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3CA96A7C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</w:tr>
      <w:tr w:rsidR="00176DCC" w:rsidRPr="00176DCC" w14:paraId="33EE69EF" w14:textId="77777777" w:rsidTr="00176DCC">
        <w:trPr>
          <w:trHeight w:val="152"/>
        </w:trPr>
        <w:tc>
          <w:tcPr>
            <w:tcW w:w="1548" w:type="dxa"/>
            <w:vMerge/>
            <w:shd w:val="clear" w:color="auto" w:fill="auto"/>
            <w:hideMark/>
          </w:tcPr>
          <w:p w14:paraId="6B8A16BF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vMerge w:val="restart"/>
            <w:shd w:val="clear" w:color="auto" w:fill="auto"/>
            <w:hideMark/>
          </w:tcPr>
          <w:p w14:paraId="2B977F18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Modelling:</w:t>
            </w:r>
          </w:p>
        </w:tc>
        <w:tc>
          <w:tcPr>
            <w:tcW w:w="5320" w:type="dxa"/>
            <w:shd w:val="clear" w:color="auto" w:fill="auto"/>
            <w:hideMark/>
          </w:tcPr>
          <w:p w14:paraId="6DF39029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Extensive: ArcGIS Model Builder, HAZUS</w:t>
            </w:r>
          </w:p>
        </w:tc>
      </w:tr>
      <w:tr w:rsidR="00176DCC" w:rsidRPr="00176DCC" w14:paraId="29BA3D89" w14:textId="77777777" w:rsidTr="00176DCC">
        <w:trPr>
          <w:trHeight w:val="61"/>
        </w:trPr>
        <w:tc>
          <w:tcPr>
            <w:tcW w:w="1548" w:type="dxa"/>
            <w:vMerge/>
            <w:shd w:val="clear" w:color="auto" w:fill="auto"/>
            <w:hideMark/>
          </w:tcPr>
          <w:p w14:paraId="5C62C52C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  <w:hideMark/>
          </w:tcPr>
          <w:p w14:paraId="54331089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460E32A8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Proficient: HEC-</w:t>
            </w:r>
            <w:proofErr w:type="spellStart"/>
            <w:r w:rsidRPr="00176DCC">
              <w:rPr>
                <w:sz w:val="20"/>
                <w:szCs w:val="20"/>
              </w:rPr>
              <w:t>GeoHMS</w:t>
            </w:r>
            <w:proofErr w:type="spellEnd"/>
            <w:r w:rsidRPr="00176DCC">
              <w:rPr>
                <w:sz w:val="20"/>
                <w:szCs w:val="20"/>
              </w:rPr>
              <w:t>, HEC-RAS, SWMM</w:t>
            </w:r>
          </w:p>
        </w:tc>
      </w:tr>
      <w:tr w:rsidR="00176DCC" w:rsidRPr="00176DCC" w14:paraId="6E8E1B1D" w14:textId="77777777" w:rsidTr="00176DCC">
        <w:trPr>
          <w:trHeight w:val="61"/>
        </w:trPr>
        <w:tc>
          <w:tcPr>
            <w:tcW w:w="1548" w:type="dxa"/>
            <w:shd w:val="clear" w:color="auto" w:fill="auto"/>
            <w:noWrap/>
            <w:hideMark/>
          </w:tcPr>
          <w:p w14:paraId="68D776D3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14:paraId="2CF6767D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062C5A3A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</w:tr>
      <w:tr w:rsidR="00176DCC" w:rsidRPr="00176DCC" w14:paraId="6F270892" w14:textId="77777777" w:rsidTr="00176DCC">
        <w:trPr>
          <w:trHeight w:val="143"/>
        </w:trPr>
        <w:tc>
          <w:tcPr>
            <w:tcW w:w="1548" w:type="dxa"/>
            <w:shd w:val="clear" w:color="auto" w:fill="auto"/>
            <w:noWrap/>
            <w:hideMark/>
          </w:tcPr>
          <w:p w14:paraId="5CB322A4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Methodological: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5F44D833" w14:textId="45460620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 xml:space="preserve">Cartographic development, </w:t>
            </w:r>
            <w:r w:rsidR="00176DCC" w:rsidRPr="00176DCC">
              <w:rPr>
                <w:sz w:val="20"/>
                <w:szCs w:val="20"/>
              </w:rPr>
              <w:t>geo</w:t>
            </w:r>
            <w:r w:rsidRPr="00176DCC">
              <w:rPr>
                <w:sz w:val="20"/>
                <w:szCs w:val="20"/>
              </w:rPr>
              <w:t>data processing</w:t>
            </w:r>
            <w:r w:rsidR="00176DCC" w:rsidRPr="00176DCC">
              <w:rPr>
                <w:sz w:val="20"/>
                <w:szCs w:val="20"/>
              </w:rPr>
              <w:t xml:space="preserve"> and</w:t>
            </w:r>
            <w:r w:rsidRPr="00176DCC">
              <w:rPr>
                <w:sz w:val="20"/>
                <w:szCs w:val="20"/>
              </w:rPr>
              <w:t xml:space="preserve"> visualization, hazard assessment, scientific graphic</w:t>
            </w:r>
            <w:r w:rsidR="00DD77DD">
              <w:rPr>
                <w:sz w:val="20"/>
                <w:szCs w:val="20"/>
              </w:rPr>
              <w:t xml:space="preserve"> development</w:t>
            </w:r>
            <w:r w:rsidRPr="00176DCC">
              <w:rPr>
                <w:sz w:val="20"/>
                <w:szCs w:val="20"/>
              </w:rPr>
              <w:t>, social vulnerability</w:t>
            </w:r>
            <w:r w:rsidR="00DD77DD">
              <w:rPr>
                <w:sz w:val="20"/>
                <w:szCs w:val="20"/>
              </w:rPr>
              <w:t xml:space="preserve"> assessment</w:t>
            </w:r>
            <w:r w:rsidRPr="00176DCC">
              <w:rPr>
                <w:sz w:val="20"/>
                <w:szCs w:val="20"/>
              </w:rPr>
              <w:t xml:space="preserve">, statistical analysis </w:t>
            </w:r>
          </w:p>
        </w:tc>
      </w:tr>
      <w:tr w:rsidR="00176DCC" w:rsidRPr="00176DCC" w14:paraId="0FF61C00" w14:textId="77777777" w:rsidTr="00176DCC">
        <w:trPr>
          <w:trHeight w:val="61"/>
        </w:trPr>
        <w:tc>
          <w:tcPr>
            <w:tcW w:w="1548" w:type="dxa"/>
            <w:shd w:val="clear" w:color="auto" w:fill="auto"/>
            <w:noWrap/>
            <w:hideMark/>
          </w:tcPr>
          <w:p w14:paraId="4780C665" w14:textId="77777777" w:rsidR="00270C74" w:rsidRPr="00176DCC" w:rsidRDefault="00270C74" w:rsidP="00270C74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14:paraId="3247E630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shd w:val="clear" w:color="auto" w:fill="auto"/>
            <w:hideMark/>
          </w:tcPr>
          <w:p w14:paraId="0B567C95" w14:textId="77777777" w:rsidR="00270C74" w:rsidRPr="00176DCC" w:rsidRDefault="00270C74">
            <w:pPr>
              <w:rPr>
                <w:sz w:val="20"/>
                <w:szCs w:val="20"/>
              </w:rPr>
            </w:pPr>
          </w:p>
        </w:tc>
      </w:tr>
      <w:tr w:rsidR="00176DCC" w:rsidRPr="00176DCC" w14:paraId="4370CC6A" w14:textId="77777777" w:rsidTr="00176DCC">
        <w:trPr>
          <w:trHeight w:val="369"/>
        </w:trPr>
        <w:tc>
          <w:tcPr>
            <w:tcW w:w="1548" w:type="dxa"/>
            <w:shd w:val="clear" w:color="auto" w:fill="auto"/>
            <w:noWrap/>
            <w:hideMark/>
          </w:tcPr>
          <w:p w14:paraId="6F9CE47E" w14:textId="77777777" w:rsidR="00270C74" w:rsidRPr="00176DCC" w:rsidRDefault="00270C74" w:rsidP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Interpersonal:</w:t>
            </w:r>
          </w:p>
        </w:tc>
        <w:tc>
          <w:tcPr>
            <w:tcW w:w="8028" w:type="dxa"/>
            <w:gridSpan w:val="2"/>
            <w:shd w:val="clear" w:color="auto" w:fill="auto"/>
            <w:hideMark/>
          </w:tcPr>
          <w:p w14:paraId="70F6B453" w14:textId="77777777" w:rsidR="00270C74" w:rsidRPr="00176DCC" w:rsidRDefault="00270C74">
            <w:pPr>
              <w:rPr>
                <w:sz w:val="20"/>
                <w:szCs w:val="20"/>
              </w:rPr>
            </w:pPr>
            <w:r w:rsidRPr="00176DCC">
              <w:rPr>
                <w:sz w:val="20"/>
                <w:szCs w:val="20"/>
              </w:rPr>
              <w:t>Autodidactic and detail-orientated team player. Dedicated worker willing to share and teach associates. Disciplined problem solver with limited need for supervision.</w:t>
            </w:r>
          </w:p>
        </w:tc>
      </w:tr>
    </w:tbl>
    <w:p w14:paraId="459ABE70" w14:textId="77777777" w:rsidR="00D20A9A" w:rsidRDefault="00D20A9A" w:rsidP="005C792D">
      <w:pPr>
        <w:rPr>
          <w:b/>
          <w:sz w:val="20"/>
          <w:szCs w:val="20"/>
        </w:rPr>
      </w:pPr>
    </w:p>
    <w:p w14:paraId="7CD31A04" w14:textId="0D7371DA" w:rsidR="00C90D93" w:rsidRDefault="00C90D93" w:rsidP="005C792D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Peer-Reviewed Publications</w:t>
      </w:r>
    </w:p>
    <w:p w14:paraId="2BB58EF6" w14:textId="77777777" w:rsidR="000E6BE5" w:rsidRPr="000E6BE5" w:rsidRDefault="000E6BE5" w:rsidP="000E6BE5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Baustian, M. M., Clark, F. R., Jerabek, A. S., Wang, Y., </w:t>
      </w:r>
      <w:r w:rsidRPr="000E6BE5">
        <w:rPr>
          <w:b/>
          <w:sz w:val="20"/>
          <w:szCs w:val="20"/>
        </w:rPr>
        <w:t>Bienn, H. C.</w:t>
      </w:r>
      <w:r w:rsidRPr="000E6BE5">
        <w:rPr>
          <w:bCs/>
          <w:sz w:val="20"/>
          <w:szCs w:val="20"/>
        </w:rPr>
        <w:t xml:space="preserve">, &amp; White, E. D. (2018). Modeling current and future freshwater inflow needs of a subtropical estuary to manage and maintain forested wetland ecological conditions. </w:t>
      </w:r>
      <w:r w:rsidRPr="000E6BE5">
        <w:rPr>
          <w:bCs/>
          <w:i/>
          <w:iCs/>
          <w:sz w:val="20"/>
          <w:szCs w:val="20"/>
        </w:rPr>
        <w:t>Ecological Indicators</w:t>
      </w:r>
      <w:r w:rsidRPr="000E6BE5">
        <w:rPr>
          <w:bCs/>
          <w:sz w:val="20"/>
          <w:szCs w:val="20"/>
        </w:rPr>
        <w:t xml:space="preserve">, </w:t>
      </w:r>
      <w:r w:rsidRPr="000E6BE5">
        <w:rPr>
          <w:bCs/>
          <w:i/>
          <w:iCs/>
          <w:sz w:val="20"/>
          <w:szCs w:val="20"/>
        </w:rPr>
        <w:t>85</w:t>
      </w:r>
      <w:r w:rsidRPr="000E6BE5">
        <w:rPr>
          <w:bCs/>
          <w:sz w:val="20"/>
          <w:szCs w:val="20"/>
        </w:rPr>
        <w:t xml:space="preserve">, 791–807. </w:t>
      </w:r>
      <w:hyperlink r:id="rId9" w:history="1">
        <w:r w:rsidRPr="000E6BE5">
          <w:rPr>
            <w:rStyle w:val="Hyperlink"/>
            <w:bCs/>
            <w:sz w:val="20"/>
            <w:szCs w:val="20"/>
          </w:rPr>
          <w:t>https://doi.org/10.1016/j.ecolind.2017.10.005</w:t>
        </w:r>
      </w:hyperlink>
    </w:p>
    <w:p w14:paraId="6F3A2FD5" w14:textId="77777777" w:rsidR="000E6BE5" w:rsidRPr="000E6BE5" w:rsidRDefault="000E6BE5" w:rsidP="000E6BE5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Baustian, M. M., Jung, H., </w:t>
      </w:r>
      <w:r w:rsidRPr="000E6BE5">
        <w:rPr>
          <w:b/>
          <w:sz w:val="20"/>
          <w:szCs w:val="20"/>
        </w:rPr>
        <w:t>Bienn, H. C.</w:t>
      </w:r>
      <w:r w:rsidRPr="000E6BE5">
        <w:rPr>
          <w:bCs/>
          <w:sz w:val="20"/>
          <w:szCs w:val="20"/>
        </w:rPr>
        <w:t xml:space="preserve">, Barra, M., Hemmerling, S. A., Wang, Y., White, E., &amp; Meselhe, E. (2020). Engaging coastal community members about natural and nature-based solutions to assess their ecosystem function. </w:t>
      </w:r>
      <w:r w:rsidRPr="000E6BE5">
        <w:rPr>
          <w:bCs/>
          <w:i/>
          <w:iCs/>
          <w:sz w:val="20"/>
          <w:szCs w:val="20"/>
        </w:rPr>
        <w:t>Ecological Engineering: X</w:t>
      </w:r>
      <w:r w:rsidRPr="000E6BE5">
        <w:rPr>
          <w:bCs/>
          <w:sz w:val="20"/>
          <w:szCs w:val="20"/>
        </w:rPr>
        <w:t xml:space="preserve">, </w:t>
      </w:r>
      <w:r w:rsidRPr="000E6BE5">
        <w:rPr>
          <w:bCs/>
          <w:i/>
          <w:iCs/>
          <w:sz w:val="20"/>
          <w:szCs w:val="20"/>
        </w:rPr>
        <w:t>5</w:t>
      </w:r>
      <w:r w:rsidRPr="000E6BE5">
        <w:rPr>
          <w:bCs/>
          <w:sz w:val="20"/>
          <w:szCs w:val="20"/>
        </w:rPr>
        <w:t xml:space="preserve">, 100015. </w:t>
      </w:r>
      <w:hyperlink r:id="rId10" w:history="1">
        <w:r w:rsidRPr="000E6BE5">
          <w:rPr>
            <w:rStyle w:val="Hyperlink"/>
            <w:bCs/>
            <w:sz w:val="20"/>
            <w:szCs w:val="20"/>
          </w:rPr>
          <w:t>https://doi.org/10.1016/j.ecoena.2019.100015</w:t>
        </w:r>
      </w:hyperlink>
    </w:p>
    <w:p w14:paraId="2649EEA0" w14:textId="77777777" w:rsidR="000E6BE5" w:rsidRPr="000E6BE5" w:rsidRDefault="000E6BE5" w:rsidP="000E6BE5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Hemmerling, S. A., Barra, M., </w:t>
      </w:r>
      <w:r w:rsidRPr="000E6BE5">
        <w:rPr>
          <w:b/>
          <w:sz w:val="20"/>
          <w:szCs w:val="20"/>
        </w:rPr>
        <w:t>Bienn, H. C.</w:t>
      </w:r>
      <w:r w:rsidRPr="000E6BE5">
        <w:rPr>
          <w:bCs/>
          <w:sz w:val="20"/>
          <w:szCs w:val="20"/>
        </w:rPr>
        <w:t xml:space="preserve">, Baustian, M. M., Jung, H., Meselhe, E., Wang, Y., &amp; White, E. (2020). Elevating local knowledge through participatory modeling: active community engagement in restoration </w:t>
      </w:r>
      <w:r w:rsidRPr="000E6BE5">
        <w:rPr>
          <w:bCs/>
          <w:sz w:val="20"/>
          <w:szCs w:val="20"/>
        </w:rPr>
        <w:lastRenderedPageBreak/>
        <w:t xml:space="preserve">planning in coastal Louisiana. </w:t>
      </w:r>
      <w:r w:rsidRPr="000E6BE5">
        <w:rPr>
          <w:bCs/>
          <w:i/>
          <w:iCs/>
          <w:sz w:val="20"/>
          <w:szCs w:val="20"/>
        </w:rPr>
        <w:t>Journal of Geographical Systems</w:t>
      </w:r>
      <w:r w:rsidRPr="000E6BE5">
        <w:rPr>
          <w:bCs/>
          <w:sz w:val="20"/>
          <w:szCs w:val="20"/>
        </w:rPr>
        <w:t xml:space="preserve">, </w:t>
      </w:r>
      <w:r w:rsidRPr="000E6BE5">
        <w:rPr>
          <w:bCs/>
          <w:i/>
          <w:iCs/>
          <w:sz w:val="20"/>
          <w:szCs w:val="20"/>
        </w:rPr>
        <w:t>22</w:t>
      </w:r>
      <w:r w:rsidRPr="000E6BE5">
        <w:rPr>
          <w:bCs/>
          <w:sz w:val="20"/>
          <w:szCs w:val="20"/>
        </w:rPr>
        <w:t xml:space="preserve">(2), 241–266. </w:t>
      </w:r>
      <w:hyperlink r:id="rId11" w:history="1">
        <w:r w:rsidRPr="000E6BE5">
          <w:rPr>
            <w:rStyle w:val="Hyperlink"/>
            <w:bCs/>
            <w:sz w:val="20"/>
            <w:szCs w:val="20"/>
          </w:rPr>
          <w:t>https://doi.org/10.1007/s10109-019-00313-2</w:t>
        </w:r>
      </w:hyperlink>
    </w:p>
    <w:p w14:paraId="7D54277E" w14:textId="77777777" w:rsidR="000E6BE5" w:rsidRPr="000E6BE5" w:rsidRDefault="000E6BE5" w:rsidP="000E6BE5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Hemmerling, S., Carruthers, T., Hijuelos, A., &amp; </w:t>
      </w:r>
      <w:r w:rsidRPr="000E6BE5">
        <w:rPr>
          <w:b/>
          <w:sz w:val="20"/>
          <w:szCs w:val="20"/>
        </w:rPr>
        <w:t>Bienn, H.</w:t>
      </w:r>
      <w:r w:rsidRPr="000E6BE5">
        <w:rPr>
          <w:bCs/>
          <w:sz w:val="20"/>
          <w:szCs w:val="20"/>
        </w:rPr>
        <w:t xml:space="preserve"> (2020). Double exposure and dynamic vulnerability: Assessing economic well-being, ecological change and the development of the oil and gas industry in coastal Louisiana. </w:t>
      </w:r>
      <w:r w:rsidRPr="000E6BE5">
        <w:rPr>
          <w:bCs/>
          <w:i/>
          <w:iCs/>
          <w:sz w:val="20"/>
          <w:szCs w:val="20"/>
        </w:rPr>
        <w:t>Shore &amp; Beach</w:t>
      </w:r>
      <w:r w:rsidRPr="000E6BE5">
        <w:rPr>
          <w:bCs/>
          <w:sz w:val="20"/>
          <w:szCs w:val="20"/>
        </w:rPr>
        <w:t xml:space="preserve">, 72–82. </w:t>
      </w:r>
      <w:hyperlink r:id="rId12" w:history="1">
        <w:r w:rsidRPr="000E6BE5">
          <w:rPr>
            <w:rStyle w:val="Hyperlink"/>
            <w:bCs/>
            <w:sz w:val="20"/>
            <w:szCs w:val="20"/>
          </w:rPr>
          <w:t>https://doi.org/10.34237/1008819</w:t>
        </w:r>
      </w:hyperlink>
    </w:p>
    <w:p w14:paraId="207C15E5" w14:textId="77777777" w:rsidR="000E6BE5" w:rsidRPr="000E6BE5" w:rsidRDefault="000E6BE5" w:rsidP="000E6BE5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Meselhe, E., Wang, Y., White, E., Jung, H., Baustian, M. M., Hemmerling, S., Barra, M., &amp; </w:t>
      </w:r>
      <w:r w:rsidRPr="000E6BE5">
        <w:rPr>
          <w:b/>
          <w:sz w:val="20"/>
          <w:szCs w:val="20"/>
        </w:rPr>
        <w:t>Bienn, H.</w:t>
      </w:r>
      <w:r w:rsidRPr="000E6BE5">
        <w:rPr>
          <w:bCs/>
          <w:sz w:val="20"/>
          <w:szCs w:val="20"/>
        </w:rPr>
        <w:t xml:space="preserve"> (2020). Knowledge-based predictive tools to assess effectiveness of natural and nature-based Solutions for coastal restoration and protection planning. </w:t>
      </w:r>
      <w:r w:rsidRPr="000E6BE5">
        <w:rPr>
          <w:bCs/>
          <w:i/>
          <w:iCs/>
          <w:sz w:val="20"/>
          <w:szCs w:val="20"/>
        </w:rPr>
        <w:t>Journal of Hydraulic Engineering</w:t>
      </w:r>
      <w:r w:rsidRPr="000E6BE5">
        <w:rPr>
          <w:bCs/>
          <w:sz w:val="20"/>
          <w:szCs w:val="20"/>
        </w:rPr>
        <w:t xml:space="preserve">, </w:t>
      </w:r>
      <w:r w:rsidRPr="000E6BE5">
        <w:rPr>
          <w:bCs/>
          <w:i/>
          <w:iCs/>
          <w:sz w:val="20"/>
          <w:szCs w:val="20"/>
        </w:rPr>
        <w:t>146</w:t>
      </w:r>
      <w:r w:rsidRPr="000E6BE5">
        <w:rPr>
          <w:bCs/>
          <w:sz w:val="20"/>
          <w:szCs w:val="20"/>
        </w:rPr>
        <w:t xml:space="preserve">(2), 05019007. </w:t>
      </w:r>
      <w:hyperlink r:id="rId13" w:history="1">
        <w:r w:rsidRPr="000E6BE5">
          <w:rPr>
            <w:rStyle w:val="Hyperlink"/>
            <w:bCs/>
            <w:sz w:val="20"/>
            <w:szCs w:val="20"/>
          </w:rPr>
          <w:t>https://doi.org/10.1061/(ASCE)HY.1943-7900.0001659</w:t>
        </w:r>
      </w:hyperlink>
    </w:p>
    <w:p w14:paraId="20E37377" w14:textId="120A4ADF" w:rsidR="000E6BE5" w:rsidRPr="000E6BE5" w:rsidRDefault="000E6BE5" w:rsidP="000E6BE5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Moss, L., Carruthers, T., </w:t>
      </w:r>
      <w:r w:rsidRPr="000E6BE5">
        <w:rPr>
          <w:b/>
          <w:sz w:val="20"/>
          <w:szCs w:val="20"/>
        </w:rPr>
        <w:t>Bienn, H.</w:t>
      </w:r>
      <w:r w:rsidRPr="000E6BE5">
        <w:rPr>
          <w:bCs/>
          <w:sz w:val="20"/>
          <w:szCs w:val="20"/>
        </w:rPr>
        <w:t>, Mc</w:t>
      </w:r>
      <w:r w:rsidR="00BF2874">
        <w:rPr>
          <w:bCs/>
          <w:sz w:val="20"/>
          <w:szCs w:val="20"/>
        </w:rPr>
        <w:t>I</w:t>
      </w:r>
      <w:r w:rsidRPr="000E6BE5">
        <w:rPr>
          <w:bCs/>
          <w:sz w:val="20"/>
          <w:szCs w:val="20"/>
        </w:rPr>
        <w:t xml:space="preserve">nnis, A., &amp; Dausman, A. (2020). Gulf-wide data synthesis for restoration planning: Utility and limitations. </w:t>
      </w:r>
      <w:r w:rsidRPr="000E6BE5">
        <w:rPr>
          <w:bCs/>
          <w:i/>
          <w:iCs/>
          <w:sz w:val="20"/>
          <w:szCs w:val="20"/>
        </w:rPr>
        <w:t>Shore &amp; Beach</w:t>
      </w:r>
      <w:r w:rsidRPr="000E6BE5">
        <w:rPr>
          <w:bCs/>
          <w:sz w:val="20"/>
          <w:szCs w:val="20"/>
        </w:rPr>
        <w:t xml:space="preserve">, 23–33. </w:t>
      </w:r>
      <w:hyperlink r:id="rId14" w:history="1">
        <w:r w:rsidRPr="000E6BE5">
          <w:rPr>
            <w:rStyle w:val="Hyperlink"/>
            <w:bCs/>
            <w:sz w:val="20"/>
            <w:szCs w:val="20"/>
          </w:rPr>
          <w:t>https://doi.org/10.34237/1008813</w:t>
        </w:r>
      </w:hyperlink>
    </w:p>
    <w:p w14:paraId="33C9D448" w14:textId="77777777" w:rsidR="00C90D93" w:rsidRDefault="00C90D93" w:rsidP="005C792D">
      <w:pPr>
        <w:rPr>
          <w:b/>
          <w:smallCaps/>
          <w:sz w:val="20"/>
          <w:szCs w:val="20"/>
        </w:rPr>
      </w:pPr>
    </w:p>
    <w:p w14:paraId="77673B51" w14:textId="0793007D" w:rsidR="00871730" w:rsidRDefault="000E6BE5" w:rsidP="005C792D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Presentations</w:t>
      </w:r>
      <w:r w:rsidR="00871730">
        <w:rPr>
          <w:b/>
          <w:smallCaps/>
          <w:sz w:val="20"/>
          <w:szCs w:val="20"/>
        </w:rPr>
        <w:t xml:space="preserve"> </w:t>
      </w:r>
    </w:p>
    <w:p w14:paraId="471CB65F" w14:textId="723A7B2D" w:rsidR="000E6BE5" w:rsidRPr="000E6BE5" w:rsidRDefault="000E6BE5" w:rsidP="00176DCC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 xml:space="preserve">[Oral] </w:t>
      </w:r>
      <w:r w:rsidRPr="00176DCC">
        <w:rPr>
          <w:b/>
          <w:sz w:val="20"/>
          <w:szCs w:val="20"/>
        </w:rPr>
        <w:t>Bienn, H.</w:t>
      </w:r>
      <w:r>
        <w:rPr>
          <w:bCs/>
          <w:sz w:val="20"/>
          <w:szCs w:val="20"/>
        </w:rPr>
        <w:t>, Franklin, E., Heuisler, R., Philley, N. (2018). “</w:t>
      </w:r>
      <w:r w:rsidRPr="000E6BE5">
        <w:rPr>
          <w:bCs/>
          <w:sz w:val="20"/>
          <w:szCs w:val="20"/>
        </w:rPr>
        <w:t>Assessing the Impact of Urban Flooding on Vulnerable Populations in New Orleans using the Internet of Things</w:t>
      </w:r>
      <w:r>
        <w:rPr>
          <w:bCs/>
          <w:sz w:val="20"/>
          <w:szCs w:val="20"/>
        </w:rPr>
        <w:t xml:space="preserve">”. </w:t>
      </w:r>
      <w:r w:rsidRPr="00C90D93">
        <w:rPr>
          <w:bCs/>
          <w:sz w:val="20"/>
          <w:szCs w:val="20"/>
        </w:rPr>
        <w:t xml:space="preserve">28th WERC Environmental Design Competition, </w:t>
      </w:r>
      <w:r>
        <w:rPr>
          <w:bCs/>
          <w:sz w:val="20"/>
          <w:szCs w:val="20"/>
        </w:rPr>
        <w:t xml:space="preserve">Las Cruces, New Mexico </w:t>
      </w:r>
    </w:p>
    <w:p w14:paraId="3E4254FE" w14:textId="3B2F535C" w:rsidR="000E6BE5" w:rsidRPr="000E6BE5" w:rsidRDefault="000E6BE5" w:rsidP="00176DCC">
      <w:pPr>
        <w:ind w:left="720" w:hanging="720"/>
        <w:rPr>
          <w:bCs/>
          <w:sz w:val="20"/>
          <w:szCs w:val="20"/>
        </w:rPr>
      </w:pPr>
      <w:r w:rsidRPr="000E6BE5">
        <w:rPr>
          <w:bCs/>
          <w:sz w:val="20"/>
          <w:szCs w:val="20"/>
        </w:rPr>
        <w:t>[Poster]</w:t>
      </w:r>
      <w:r w:rsidR="00176DCC">
        <w:rPr>
          <w:bCs/>
          <w:sz w:val="20"/>
          <w:szCs w:val="20"/>
        </w:rPr>
        <w:t xml:space="preserve"> </w:t>
      </w:r>
      <w:r w:rsidR="00176DCC" w:rsidRPr="00176DCC">
        <w:rPr>
          <w:b/>
          <w:sz w:val="20"/>
          <w:szCs w:val="20"/>
        </w:rPr>
        <w:t>Bienn, H.</w:t>
      </w:r>
      <w:r w:rsidR="00176DCC">
        <w:rPr>
          <w:bCs/>
          <w:sz w:val="20"/>
          <w:szCs w:val="20"/>
        </w:rPr>
        <w:t>, Cook S., Dugas, K., Franklin, E., Heuisler, R., Philley, N., Weyenberg, B. (2018). “</w:t>
      </w:r>
      <w:r w:rsidR="00176DCC" w:rsidRPr="000E6BE5">
        <w:rPr>
          <w:bCs/>
          <w:sz w:val="20"/>
          <w:szCs w:val="20"/>
        </w:rPr>
        <w:t>Assessing the Impact of Urban Flooding on Vulnerable Populations in New Orleans using the Internet of Things</w:t>
      </w:r>
      <w:r w:rsidR="00176DCC">
        <w:rPr>
          <w:bCs/>
          <w:sz w:val="20"/>
          <w:szCs w:val="20"/>
        </w:rPr>
        <w:t xml:space="preserve">”. </w:t>
      </w:r>
      <w:r w:rsidR="00176DCC" w:rsidRPr="00C90D93">
        <w:rPr>
          <w:bCs/>
          <w:sz w:val="20"/>
          <w:szCs w:val="20"/>
        </w:rPr>
        <w:t xml:space="preserve">28th WERC Environmental Design Competition, </w:t>
      </w:r>
      <w:r w:rsidR="00176DCC">
        <w:rPr>
          <w:bCs/>
          <w:sz w:val="20"/>
          <w:szCs w:val="20"/>
        </w:rPr>
        <w:t>Las Cruces, New Mexico</w:t>
      </w:r>
    </w:p>
    <w:p w14:paraId="3C80AADA" w14:textId="77777777" w:rsidR="00176DCC" w:rsidRDefault="00176DCC" w:rsidP="005C792D">
      <w:pPr>
        <w:rPr>
          <w:b/>
          <w:smallCaps/>
          <w:sz w:val="20"/>
          <w:szCs w:val="20"/>
        </w:rPr>
      </w:pPr>
    </w:p>
    <w:p w14:paraId="4D84BA65" w14:textId="3325642C" w:rsidR="00FC394C" w:rsidRDefault="00EC3772" w:rsidP="005C792D">
      <w:pPr>
        <w:rPr>
          <w:b/>
          <w:smallCaps/>
          <w:sz w:val="20"/>
          <w:szCs w:val="20"/>
        </w:rPr>
      </w:pPr>
      <w:r w:rsidRPr="00EC3772">
        <w:rPr>
          <w:b/>
          <w:smallCaps/>
          <w:sz w:val="20"/>
          <w:szCs w:val="20"/>
        </w:rPr>
        <w:t>Awards and Honors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1188"/>
        <w:gridCol w:w="8370"/>
      </w:tblGrid>
      <w:tr w:rsidR="00176DCC" w:rsidRPr="00176DCC" w14:paraId="358C8139" w14:textId="77777777" w:rsidTr="00176DCC">
        <w:trPr>
          <w:trHeight w:val="503"/>
        </w:trPr>
        <w:tc>
          <w:tcPr>
            <w:tcW w:w="1188" w:type="dxa"/>
            <w:shd w:val="clear" w:color="auto" w:fill="auto"/>
            <w:noWrap/>
            <w:hideMark/>
          </w:tcPr>
          <w:p w14:paraId="293016A1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8370" w:type="dxa"/>
            <w:shd w:val="clear" w:color="auto" w:fill="auto"/>
            <w:hideMark/>
          </w:tcPr>
          <w:p w14:paraId="34E0F7BB" w14:textId="0A957232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 xml:space="preserve">Judges' Choice, 28th WERC Environmental Design Competition, </w:t>
            </w:r>
            <w:bookmarkStart w:id="0" w:name="_Hlk35425238"/>
            <w:r w:rsidR="00176DCC" w:rsidRPr="00176DCC">
              <w:rPr>
                <w:bCs/>
                <w:sz w:val="20"/>
                <w:szCs w:val="20"/>
              </w:rPr>
              <w:t>“</w:t>
            </w:r>
            <w:r w:rsidRPr="00176DCC">
              <w:rPr>
                <w:bCs/>
                <w:sz w:val="20"/>
                <w:szCs w:val="20"/>
              </w:rPr>
              <w:t>Assessing the Impact of Urban Flooding on Vulnerable Populations in New Orleans using the Internet of Things</w:t>
            </w:r>
            <w:bookmarkEnd w:id="0"/>
            <w:r w:rsidR="00176DCC" w:rsidRPr="00176DCC">
              <w:rPr>
                <w:bCs/>
                <w:sz w:val="20"/>
                <w:szCs w:val="20"/>
              </w:rPr>
              <w:t>”</w:t>
            </w:r>
          </w:p>
        </w:tc>
      </w:tr>
      <w:tr w:rsidR="00176DCC" w:rsidRPr="00176DCC" w14:paraId="2F621C53" w14:textId="77777777" w:rsidTr="00176DCC">
        <w:trPr>
          <w:trHeight w:val="300"/>
        </w:trPr>
        <w:tc>
          <w:tcPr>
            <w:tcW w:w="1188" w:type="dxa"/>
            <w:shd w:val="clear" w:color="auto" w:fill="auto"/>
            <w:noWrap/>
            <w:hideMark/>
          </w:tcPr>
          <w:p w14:paraId="6A463BB3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2013 - 2018</w:t>
            </w:r>
          </w:p>
        </w:tc>
        <w:tc>
          <w:tcPr>
            <w:tcW w:w="8370" w:type="dxa"/>
            <w:shd w:val="clear" w:color="auto" w:fill="auto"/>
            <w:noWrap/>
            <w:hideMark/>
          </w:tcPr>
          <w:p w14:paraId="236D339F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Recipient of Post 9/11 G.I. Bill Scholarship</w:t>
            </w:r>
          </w:p>
        </w:tc>
      </w:tr>
      <w:tr w:rsidR="00176DCC" w:rsidRPr="00176DCC" w14:paraId="628910E9" w14:textId="77777777" w:rsidTr="00176DCC">
        <w:trPr>
          <w:trHeight w:val="300"/>
        </w:trPr>
        <w:tc>
          <w:tcPr>
            <w:tcW w:w="1188" w:type="dxa"/>
            <w:shd w:val="clear" w:color="auto" w:fill="auto"/>
            <w:noWrap/>
            <w:hideMark/>
          </w:tcPr>
          <w:p w14:paraId="61E57384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8370" w:type="dxa"/>
            <w:shd w:val="clear" w:color="auto" w:fill="auto"/>
            <w:noWrap/>
            <w:hideMark/>
          </w:tcPr>
          <w:p w14:paraId="3A8D8737" w14:textId="7D494F39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Honorable Discharge from the United States Marine Corps</w:t>
            </w:r>
          </w:p>
        </w:tc>
      </w:tr>
      <w:tr w:rsidR="00176DCC" w:rsidRPr="00176DCC" w14:paraId="5CE6193D" w14:textId="77777777" w:rsidTr="00176DCC">
        <w:trPr>
          <w:trHeight w:val="300"/>
        </w:trPr>
        <w:tc>
          <w:tcPr>
            <w:tcW w:w="1188" w:type="dxa"/>
            <w:shd w:val="clear" w:color="auto" w:fill="auto"/>
            <w:noWrap/>
            <w:hideMark/>
          </w:tcPr>
          <w:p w14:paraId="3F5AA2DF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8370" w:type="dxa"/>
            <w:shd w:val="clear" w:color="auto" w:fill="auto"/>
            <w:noWrap/>
            <w:hideMark/>
          </w:tcPr>
          <w:p w14:paraId="132711E4" w14:textId="3FE22766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Navy Achievement Medal, Good Conduct Medal</w:t>
            </w:r>
          </w:p>
        </w:tc>
      </w:tr>
      <w:tr w:rsidR="00176DCC" w:rsidRPr="00176DCC" w14:paraId="3E3CA9D7" w14:textId="77777777" w:rsidTr="00176DCC">
        <w:trPr>
          <w:trHeight w:val="269"/>
        </w:trPr>
        <w:tc>
          <w:tcPr>
            <w:tcW w:w="1188" w:type="dxa"/>
            <w:shd w:val="clear" w:color="auto" w:fill="auto"/>
            <w:noWrap/>
            <w:hideMark/>
          </w:tcPr>
          <w:p w14:paraId="026328F5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8370" w:type="dxa"/>
            <w:shd w:val="clear" w:color="auto" w:fill="auto"/>
            <w:hideMark/>
          </w:tcPr>
          <w:p w14:paraId="3126F2C8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Combat Acton Ribbon, Infantry Squad Leader Course Honor Graduate, Certificate of Commendation</w:t>
            </w:r>
          </w:p>
        </w:tc>
      </w:tr>
      <w:tr w:rsidR="00176DCC" w:rsidRPr="00176DCC" w14:paraId="5A841C06" w14:textId="77777777" w:rsidTr="00176DCC">
        <w:trPr>
          <w:trHeight w:val="300"/>
        </w:trPr>
        <w:tc>
          <w:tcPr>
            <w:tcW w:w="1188" w:type="dxa"/>
            <w:shd w:val="clear" w:color="auto" w:fill="auto"/>
            <w:noWrap/>
            <w:hideMark/>
          </w:tcPr>
          <w:p w14:paraId="384C7D04" w14:textId="60786BE0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 xml:space="preserve">2009 </w:t>
            </w:r>
            <w:r w:rsidR="00890776">
              <w:rPr>
                <w:bCs/>
                <w:sz w:val="20"/>
                <w:szCs w:val="20"/>
              </w:rPr>
              <w:t>-</w:t>
            </w:r>
            <w:r w:rsidRPr="00176DCC">
              <w:rPr>
                <w:bCs/>
                <w:sz w:val="20"/>
                <w:szCs w:val="20"/>
              </w:rPr>
              <w:t xml:space="preserve"> 201</w:t>
            </w:r>
            <w:r w:rsidR="008907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0" w:type="dxa"/>
            <w:shd w:val="clear" w:color="auto" w:fill="auto"/>
            <w:noWrap/>
            <w:hideMark/>
          </w:tcPr>
          <w:p w14:paraId="6964C91C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Afghanistan Campaign Medals in support of Operation Enduring Freedom</w:t>
            </w:r>
          </w:p>
        </w:tc>
      </w:tr>
      <w:tr w:rsidR="00176DCC" w:rsidRPr="00176DCC" w14:paraId="5656F677" w14:textId="77777777" w:rsidTr="00176DCC">
        <w:trPr>
          <w:trHeight w:val="300"/>
        </w:trPr>
        <w:tc>
          <w:tcPr>
            <w:tcW w:w="1188" w:type="dxa"/>
            <w:shd w:val="clear" w:color="auto" w:fill="auto"/>
            <w:noWrap/>
            <w:hideMark/>
          </w:tcPr>
          <w:p w14:paraId="1933FEC1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8370" w:type="dxa"/>
            <w:shd w:val="clear" w:color="auto" w:fill="auto"/>
            <w:noWrap/>
            <w:hideMark/>
          </w:tcPr>
          <w:p w14:paraId="7AC0ED27" w14:textId="5B252C79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Certificate of Commendation, Meritorious Mast</w:t>
            </w:r>
          </w:p>
        </w:tc>
      </w:tr>
      <w:tr w:rsidR="00176DCC" w:rsidRPr="00176DCC" w14:paraId="264AE223" w14:textId="77777777" w:rsidTr="00176DCC">
        <w:trPr>
          <w:trHeight w:val="269"/>
        </w:trPr>
        <w:tc>
          <w:tcPr>
            <w:tcW w:w="1188" w:type="dxa"/>
            <w:shd w:val="clear" w:color="auto" w:fill="auto"/>
            <w:noWrap/>
            <w:hideMark/>
          </w:tcPr>
          <w:p w14:paraId="613A1276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>2008 - 2011</w:t>
            </w:r>
          </w:p>
        </w:tc>
        <w:tc>
          <w:tcPr>
            <w:tcW w:w="8370" w:type="dxa"/>
            <w:shd w:val="clear" w:color="auto" w:fill="auto"/>
            <w:hideMark/>
          </w:tcPr>
          <w:p w14:paraId="0BE333E7" w14:textId="77777777" w:rsidR="00C90D93" w:rsidRPr="00176DCC" w:rsidRDefault="00C90D93">
            <w:pPr>
              <w:rPr>
                <w:bCs/>
                <w:sz w:val="20"/>
                <w:szCs w:val="20"/>
              </w:rPr>
            </w:pPr>
            <w:r w:rsidRPr="00176DCC">
              <w:rPr>
                <w:bCs/>
                <w:sz w:val="20"/>
                <w:szCs w:val="20"/>
              </w:rPr>
              <w:t xml:space="preserve">Meritorious promotions: Private First Class, Corporal, and Sergeant (Combat Meritorious) </w:t>
            </w:r>
          </w:p>
        </w:tc>
      </w:tr>
    </w:tbl>
    <w:p w14:paraId="19180482" w14:textId="77777777" w:rsidR="00FC394C" w:rsidRPr="00335545" w:rsidRDefault="00FC394C" w:rsidP="005C792D">
      <w:pPr>
        <w:rPr>
          <w:sz w:val="20"/>
          <w:szCs w:val="20"/>
        </w:rPr>
      </w:pPr>
    </w:p>
    <w:p w14:paraId="0B029828" w14:textId="77777777" w:rsidR="00463EAC" w:rsidRPr="00463EAC" w:rsidRDefault="00463EAC" w:rsidP="00463EAC">
      <w:pPr>
        <w:rPr>
          <w:b/>
          <w:smallCaps/>
          <w:sz w:val="20"/>
          <w:szCs w:val="20"/>
        </w:rPr>
      </w:pPr>
      <w:r w:rsidRPr="00463EAC">
        <w:rPr>
          <w:b/>
          <w:smallCaps/>
          <w:sz w:val="20"/>
          <w:szCs w:val="20"/>
        </w:rPr>
        <w:t xml:space="preserve">REFERENCES </w:t>
      </w:r>
    </w:p>
    <w:p w14:paraId="7B11C9B0" w14:textId="1DF8452B" w:rsidR="000E62BF" w:rsidRDefault="00463EAC" w:rsidP="007F2E3A">
      <w:pPr>
        <w:ind w:left="180" w:hanging="180"/>
        <w:rPr>
          <w:bCs/>
          <w:sz w:val="20"/>
          <w:szCs w:val="20"/>
        </w:rPr>
      </w:pPr>
      <w:r w:rsidRPr="00463EAC">
        <w:rPr>
          <w:bCs/>
          <w:sz w:val="20"/>
          <w:szCs w:val="20"/>
        </w:rPr>
        <w:t>Scott A. Hemmerling, Ph.D.</w:t>
      </w:r>
      <w:r w:rsidR="001D0F29">
        <w:rPr>
          <w:bCs/>
          <w:sz w:val="20"/>
          <w:szCs w:val="20"/>
        </w:rPr>
        <w:t xml:space="preserve"> | </w:t>
      </w:r>
      <w:r w:rsidR="001D0F29" w:rsidRPr="00463EAC">
        <w:rPr>
          <w:bCs/>
          <w:sz w:val="20"/>
          <w:szCs w:val="20"/>
        </w:rPr>
        <w:t>(225) 228-2101</w:t>
      </w:r>
      <w:r w:rsidR="001D0F29">
        <w:rPr>
          <w:bCs/>
          <w:sz w:val="20"/>
          <w:szCs w:val="20"/>
        </w:rPr>
        <w:t xml:space="preserve"> | </w:t>
      </w:r>
      <w:hyperlink r:id="rId15" w:history="1">
        <w:r w:rsidR="001D0F29" w:rsidRPr="00BB0DA3">
          <w:rPr>
            <w:rStyle w:val="Hyperlink"/>
            <w:bCs/>
            <w:sz w:val="20"/>
            <w:szCs w:val="20"/>
          </w:rPr>
          <w:t>shemmerling@thewaterinstitute.org</w:t>
        </w:r>
      </w:hyperlink>
      <w:r w:rsidR="001D0F29">
        <w:rPr>
          <w:bCs/>
          <w:sz w:val="20"/>
          <w:szCs w:val="20"/>
        </w:rPr>
        <w:t xml:space="preserve"> </w:t>
      </w:r>
    </w:p>
    <w:p w14:paraId="7D93F073" w14:textId="775E6F7B" w:rsidR="00463EAC" w:rsidRPr="00463EAC" w:rsidRDefault="00463EAC" w:rsidP="001D0F29">
      <w:pPr>
        <w:ind w:left="180"/>
        <w:rPr>
          <w:bCs/>
          <w:sz w:val="20"/>
          <w:szCs w:val="20"/>
        </w:rPr>
      </w:pPr>
      <w:r w:rsidRPr="00463EAC">
        <w:rPr>
          <w:bCs/>
          <w:sz w:val="20"/>
          <w:szCs w:val="20"/>
        </w:rPr>
        <w:t>Director of Human Dimensions, The Water Institute of the Gulf</w:t>
      </w:r>
      <w:r w:rsidR="00EB2C6B">
        <w:rPr>
          <w:bCs/>
          <w:sz w:val="20"/>
          <w:szCs w:val="20"/>
        </w:rPr>
        <w:t>,</w:t>
      </w:r>
      <w:r w:rsidRPr="00463EAC">
        <w:rPr>
          <w:bCs/>
          <w:sz w:val="20"/>
          <w:szCs w:val="20"/>
        </w:rPr>
        <w:t xml:space="preserve"> </w:t>
      </w:r>
      <w:r w:rsidR="007F2E3A">
        <w:rPr>
          <w:bCs/>
          <w:sz w:val="20"/>
          <w:szCs w:val="20"/>
        </w:rPr>
        <w:t xml:space="preserve">Baton Rouge, Louisiana. </w:t>
      </w:r>
    </w:p>
    <w:p w14:paraId="65D91CDC" w14:textId="77777777" w:rsidR="005D1553" w:rsidRDefault="005D1553" w:rsidP="007F2E3A">
      <w:pPr>
        <w:ind w:left="180" w:hanging="180"/>
        <w:rPr>
          <w:bCs/>
          <w:sz w:val="20"/>
          <w:szCs w:val="20"/>
        </w:rPr>
      </w:pPr>
    </w:p>
    <w:p w14:paraId="5CE03A30" w14:textId="529CD661" w:rsidR="007447DC" w:rsidRDefault="00463EAC" w:rsidP="007F2E3A">
      <w:pPr>
        <w:ind w:left="180" w:hanging="180"/>
        <w:rPr>
          <w:bCs/>
          <w:sz w:val="20"/>
          <w:szCs w:val="20"/>
        </w:rPr>
      </w:pPr>
      <w:r w:rsidRPr="00463EAC">
        <w:rPr>
          <w:bCs/>
          <w:sz w:val="20"/>
          <w:szCs w:val="20"/>
        </w:rPr>
        <w:t>Clint Willson, Ph.D., PE</w:t>
      </w:r>
      <w:r w:rsidR="007447DC">
        <w:rPr>
          <w:bCs/>
          <w:sz w:val="20"/>
          <w:szCs w:val="20"/>
        </w:rPr>
        <w:t>.</w:t>
      </w:r>
      <w:r w:rsidRPr="00463EAC">
        <w:rPr>
          <w:bCs/>
          <w:sz w:val="20"/>
          <w:szCs w:val="20"/>
        </w:rPr>
        <w:t xml:space="preserve"> </w:t>
      </w:r>
      <w:r w:rsidR="007447DC">
        <w:rPr>
          <w:bCs/>
          <w:sz w:val="20"/>
          <w:szCs w:val="20"/>
        </w:rPr>
        <w:t xml:space="preserve">| </w:t>
      </w:r>
      <w:r w:rsidR="007447DC" w:rsidRPr="00463EAC">
        <w:rPr>
          <w:bCs/>
          <w:sz w:val="20"/>
          <w:szCs w:val="20"/>
        </w:rPr>
        <w:t>(225) 578-8672</w:t>
      </w:r>
      <w:r w:rsidR="007447DC">
        <w:rPr>
          <w:bCs/>
          <w:sz w:val="20"/>
          <w:szCs w:val="20"/>
        </w:rPr>
        <w:t xml:space="preserve"> | </w:t>
      </w:r>
      <w:hyperlink r:id="rId16" w:history="1">
        <w:r w:rsidR="00EB2C6B" w:rsidRPr="00BB0DA3">
          <w:rPr>
            <w:rStyle w:val="Hyperlink"/>
            <w:bCs/>
            <w:sz w:val="20"/>
            <w:szCs w:val="20"/>
          </w:rPr>
          <w:t>cwillson@lsu.edu</w:t>
        </w:r>
      </w:hyperlink>
      <w:r w:rsidR="00EB2C6B">
        <w:rPr>
          <w:bCs/>
          <w:sz w:val="20"/>
          <w:szCs w:val="20"/>
        </w:rPr>
        <w:t xml:space="preserve"> </w:t>
      </w:r>
    </w:p>
    <w:p w14:paraId="370A4123" w14:textId="6C49A10D" w:rsidR="000E62BF" w:rsidRDefault="00463EAC" w:rsidP="000E62BF">
      <w:pPr>
        <w:ind w:left="180"/>
        <w:rPr>
          <w:bCs/>
          <w:sz w:val="20"/>
          <w:szCs w:val="20"/>
        </w:rPr>
      </w:pPr>
      <w:r w:rsidRPr="00463EAC">
        <w:rPr>
          <w:bCs/>
          <w:sz w:val="20"/>
          <w:szCs w:val="20"/>
        </w:rPr>
        <w:t>Director, LSU Center for River Studies,</w:t>
      </w:r>
      <w:r w:rsidR="00F76D45">
        <w:rPr>
          <w:bCs/>
          <w:sz w:val="20"/>
          <w:szCs w:val="20"/>
        </w:rPr>
        <w:t xml:space="preserve"> Baton Rouge, Louisiana.</w:t>
      </w:r>
      <w:r w:rsidR="00B45FA7">
        <w:rPr>
          <w:bCs/>
          <w:sz w:val="20"/>
          <w:szCs w:val="20"/>
        </w:rPr>
        <w:t xml:space="preserve"> </w:t>
      </w:r>
    </w:p>
    <w:p w14:paraId="2F7C5547" w14:textId="71431F07" w:rsidR="00463EAC" w:rsidRPr="00463EAC" w:rsidRDefault="00B45FA7" w:rsidP="000E62BF">
      <w:pPr>
        <w:ind w:left="180"/>
        <w:rPr>
          <w:bCs/>
          <w:sz w:val="20"/>
          <w:szCs w:val="20"/>
        </w:rPr>
      </w:pPr>
      <w:r w:rsidRPr="00B45FA7">
        <w:rPr>
          <w:bCs/>
          <w:sz w:val="20"/>
          <w:szCs w:val="20"/>
        </w:rPr>
        <w:t>Mike N. Dooley, P.E. Professor</w:t>
      </w:r>
      <w:r w:rsidR="00F76D45">
        <w:rPr>
          <w:bCs/>
          <w:sz w:val="20"/>
          <w:szCs w:val="20"/>
        </w:rPr>
        <w:t>, Department of Civil and Environmental Engineering,</w:t>
      </w:r>
      <w:r w:rsidR="00463EAC" w:rsidRPr="00463EAC">
        <w:rPr>
          <w:bCs/>
          <w:sz w:val="20"/>
          <w:szCs w:val="20"/>
        </w:rPr>
        <w:t xml:space="preserve"> Louisiana State University</w:t>
      </w:r>
      <w:r w:rsidR="007324A9">
        <w:rPr>
          <w:bCs/>
          <w:sz w:val="20"/>
          <w:szCs w:val="20"/>
        </w:rPr>
        <w:t>, Baton Rouge, Louisiana</w:t>
      </w:r>
      <w:r w:rsidR="007F2E3A">
        <w:rPr>
          <w:bCs/>
          <w:sz w:val="20"/>
          <w:szCs w:val="20"/>
        </w:rPr>
        <w:t xml:space="preserve">. </w:t>
      </w:r>
    </w:p>
    <w:p w14:paraId="71AF3D31" w14:textId="77777777" w:rsidR="005D1553" w:rsidRDefault="005D1553" w:rsidP="00CF028C">
      <w:pPr>
        <w:ind w:left="180" w:hanging="180"/>
        <w:rPr>
          <w:bCs/>
          <w:sz w:val="20"/>
          <w:szCs w:val="20"/>
        </w:rPr>
      </w:pPr>
    </w:p>
    <w:p w14:paraId="68CF72F0" w14:textId="55351D3B" w:rsidR="00CF028C" w:rsidRDefault="00BF65F9" w:rsidP="00CF028C">
      <w:pPr>
        <w:ind w:left="180" w:hanging="180"/>
        <w:rPr>
          <w:bCs/>
          <w:sz w:val="20"/>
          <w:szCs w:val="20"/>
        </w:rPr>
      </w:pPr>
      <w:r>
        <w:rPr>
          <w:bCs/>
          <w:sz w:val="20"/>
          <w:szCs w:val="20"/>
        </w:rPr>
        <w:t>John Pardue, Ph.D.</w:t>
      </w:r>
      <w:r w:rsidR="00CF028C">
        <w:rPr>
          <w:bCs/>
          <w:sz w:val="20"/>
          <w:szCs w:val="20"/>
        </w:rPr>
        <w:t xml:space="preserve"> | (225) 578-8661 | </w:t>
      </w:r>
      <w:hyperlink r:id="rId17" w:history="1">
        <w:r w:rsidR="00CF028C" w:rsidRPr="00BB0DA3">
          <w:rPr>
            <w:rStyle w:val="Hyperlink"/>
            <w:bCs/>
            <w:sz w:val="20"/>
            <w:szCs w:val="20"/>
          </w:rPr>
          <w:t>jpardue@lsu.edu</w:t>
        </w:r>
      </w:hyperlink>
      <w:r>
        <w:rPr>
          <w:bCs/>
          <w:sz w:val="20"/>
          <w:szCs w:val="20"/>
        </w:rPr>
        <w:t xml:space="preserve"> </w:t>
      </w:r>
    </w:p>
    <w:p w14:paraId="3B9572C5" w14:textId="433A8E3D" w:rsidR="00BF65F9" w:rsidRDefault="00521300" w:rsidP="00CF028C">
      <w:pPr>
        <w:ind w:left="180"/>
        <w:rPr>
          <w:bCs/>
          <w:sz w:val="20"/>
          <w:szCs w:val="20"/>
        </w:rPr>
      </w:pPr>
      <w:r w:rsidRPr="00521300">
        <w:rPr>
          <w:bCs/>
          <w:sz w:val="20"/>
          <w:szCs w:val="20"/>
        </w:rPr>
        <w:t>Elizabeth Howell Stewart Endowed Professor</w:t>
      </w:r>
      <w:r w:rsidR="00BE7B35">
        <w:rPr>
          <w:bCs/>
          <w:sz w:val="20"/>
          <w:szCs w:val="20"/>
        </w:rPr>
        <w:t xml:space="preserve">, </w:t>
      </w:r>
      <w:r w:rsidR="00BE7B35" w:rsidRPr="00BE7B35">
        <w:rPr>
          <w:bCs/>
          <w:sz w:val="20"/>
          <w:szCs w:val="20"/>
        </w:rPr>
        <w:t>Environmental Engineering Undergraduate Program Coordinator</w:t>
      </w:r>
      <w:r w:rsidR="00B076B2">
        <w:rPr>
          <w:bCs/>
          <w:sz w:val="20"/>
          <w:szCs w:val="20"/>
        </w:rPr>
        <w:t xml:space="preserve">, </w:t>
      </w:r>
      <w:r w:rsidR="001B479A">
        <w:rPr>
          <w:bCs/>
          <w:sz w:val="20"/>
          <w:szCs w:val="20"/>
        </w:rPr>
        <w:t xml:space="preserve">Department of Civil and Environmental Engineering, </w:t>
      </w:r>
      <w:r w:rsidR="00B076B2">
        <w:rPr>
          <w:bCs/>
          <w:sz w:val="20"/>
          <w:szCs w:val="20"/>
        </w:rPr>
        <w:t xml:space="preserve">Louisiana State University. Baton Rouge, Louisiana. </w:t>
      </w:r>
    </w:p>
    <w:p w14:paraId="757B3113" w14:textId="77777777" w:rsidR="00463EAC" w:rsidRDefault="00463EAC" w:rsidP="005C792D">
      <w:pPr>
        <w:rPr>
          <w:b/>
          <w:smallCaps/>
          <w:sz w:val="20"/>
          <w:szCs w:val="20"/>
        </w:rPr>
      </w:pPr>
    </w:p>
    <w:p w14:paraId="07ABDB8A" w14:textId="4905903C" w:rsidR="00FC394C" w:rsidRPr="00EC3772" w:rsidRDefault="00EC3772" w:rsidP="005C792D">
      <w:pPr>
        <w:rPr>
          <w:b/>
          <w:smallCaps/>
          <w:sz w:val="20"/>
          <w:szCs w:val="20"/>
        </w:rPr>
      </w:pPr>
      <w:r w:rsidRPr="00EC3772">
        <w:rPr>
          <w:b/>
          <w:smallCaps/>
          <w:sz w:val="20"/>
          <w:szCs w:val="20"/>
        </w:rPr>
        <w:t>Extracurricular Activities</w:t>
      </w:r>
    </w:p>
    <w:p w14:paraId="6711F374" w14:textId="2D8665F9" w:rsidR="00FC394C" w:rsidRDefault="00FC394C" w:rsidP="005C792D">
      <w:pPr>
        <w:rPr>
          <w:sz w:val="20"/>
          <w:szCs w:val="20"/>
        </w:rPr>
      </w:pPr>
      <w:r w:rsidRPr="00335545">
        <w:rPr>
          <w:sz w:val="20"/>
          <w:szCs w:val="20"/>
        </w:rPr>
        <w:t>Avid outdoorsma</w:t>
      </w:r>
      <w:r w:rsidR="00EE0E0F">
        <w:rPr>
          <w:sz w:val="20"/>
          <w:szCs w:val="20"/>
        </w:rPr>
        <w:t xml:space="preserve">n, </w:t>
      </w:r>
      <w:r w:rsidR="00C90D93">
        <w:rPr>
          <w:sz w:val="20"/>
          <w:szCs w:val="20"/>
        </w:rPr>
        <w:t>backpacker</w:t>
      </w:r>
      <w:r w:rsidR="00EE0E0F">
        <w:rPr>
          <w:sz w:val="20"/>
          <w:szCs w:val="20"/>
        </w:rPr>
        <w:t xml:space="preserve"> and fish</w:t>
      </w:r>
      <w:r w:rsidR="00C90D93">
        <w:rPr>
          <w:sz w:val="20"/>
          <w:szCs w:val="20"/>
        </w:rPr>
        <w:t>erman</w:t>
      </w:r>
      <w:r w:rsidRPr="00335545">
        <w:rPr>
          <w:sz w:val="20"/>
          <w:szCs w:val="20"/>
        </w:rPr>
        <w:t xml:space="preserve">. Multiple treks throughout the Lower Appalachians, the Sierra </w:t>
      </w:r>
      <w:proofErr w:type="spellStart"/>
      <w:r w:rsidRPr="00335545">
        <w:rPr>
          <w:sz w:val="20"/>
          <w:szCs w:val="20"/>
        </w:rPr>
        <w:t>Nevadas</w:t>
      </w:r>
      <w:proofErr w:type="spellEnd"/>
      <w:r w:rsidRPr="00335545">
        <w:rPr>
          <w:sz w:val="20"/>
          <w:szCs w:val="20"/>
        </w:rPr>
        <w:t>, and Mojave</w:t>
      </w:r>
      <w:r w:rsidR="00C90D93">
        <w:rPr>
          <w:sz w:val="20"/>
          <w:szCs w:val="20"/>
        </w:rPr>
        <w:t xml:space="preserve"> National</w:t>
      </w:r>
      <w:r w:rsidRPr="00335545">
        <w:rPr>
          <w:sz w:val="20"/>
          <w:szCs w:val="20"/>
        </w:rPr>
        <w:t xml:space="preserve"> Preserve. </w:t>
      </w:r>
    </w:p>
    <w:p w14:paraId="36B59D6E" w14:textId="77777777" w:rsidR="00C2591D" w:rsidRPr="00335545" w:rsidRDefault="00C2591D" w:rsidP="005C792D">
      <w:pPr>
        <w:rPr>
          <w:sz w:val="20"/>
          <w:szCs w:val="20"/>
        </w:rPr>
      </w:pPr>
      <w:r>
        <w:rPr>
          <w:sz w:val="20"/>
          <w:szCs w:val="20"/>
        </w:rPr>
        <w:t xml:space="preserve">Experienced technical diver with more than </w:t>
      </w:r>
      <w:r w:rsidR="009F4D7C">
        <w:rPr>
          <w:sz w:val="20"/>
          <w:szCs w:val="20"/>
        </w:rPr>
        <w:t>10</w:t>
      </w:r>
      <w:r>
        <w:rPr>
          <w:sz w:val="20"/>
          <w:szCs w:val="20"/>
        </w:rPr>
        <w:t xml:space="preserve">0 hours underwater. </w:t>
      </w:r>
      <w:r w:rsidR="00515DFC">
        <w:rPr>
          <w:sz w:val="20"/>
          <w:szCs w:val="20"/>
        </w:rPr>
        <w:t xml:space="preserve">Capable of </w:t>
      </w:r>
      <w:r w:rsidR="0084481B">
        <w:rPr>
          <w:sz w:val="20"/>
          <w:szCs w:val="20"/>
        </w:rPr>
        <w:t>underwater surveying</w:t>
      </w:r>
      <w:r w:rsidR="00515DFC">
        <w:rPr>
          <w:sz w:val="20"/>
          <w:szCs w:val="20"/>
        </w:rPr>
        <w:t xml:space="preserve"> </w:t>
      </w:r>
      <w:r w:rsidR="008D478F">
        <w:rPr>
          <w:sz w:val="20"/>
          <w:szCs w:val="20"/>
        </w:rPr>
        <w:t>and conduct</w:t>
      </w:r>
      <w:r w:rsidR="0084481B">
        <w:rPr>
          <w:sz w:val="20"/>
          <w:szCs w:val="20"/>
        </w:rPr>
        <w:t xml:space="preserve"> of</w:t>
      </w:r>
      <w:r w:rsidR="00515DFC">
        <w:rPr>
          <w:sz w:val="20"/>
          <w:szCs w:val="20"/>
        </w:rPr>
        <w:t xml:space="preserve"> search and rescue activities</w:t>
      </w:r>
      <w:r w:rsidR="0084481B">
        <w:rPr>
          <w:sz w:val="20"/>
          <w:szCs w:val="20"/>
        </w:rPr>
        <w:t>.</w:t>
      </w:r>
      <w:r w:rsidR="00515DFC">
        <w:rPr>
          <w:sz w:val="20"/>
          <w:szCs w:val="20"/>
        </w:rPr>
        <w:t xml:space="preserve"> </w:t>
      </w:r>
    </w:p>
    <w:p w14:paraId="70655B33" w14:textId="77777777" w:rsidR="00FC394C" w:rsidRPr="00335545" w:rsidRDefault="00FC394C" w:rsidP="005C792D">
      <w:pPr>
        <w:rPr>
          <w:sz w:val="20"/>
          <w:szCs w:val="20"/>
        </w:rPr>
      </w:pPr>
      <w:r w:rsidRPr="00335545">
        <w:rPr>
          <w:sz w:val="20"/>
          <w:szCs w:val="20"/>
        </w:rPr>
        <w:t>Volunte</w:t>
      </w:r>
      <w:r w:rsidR="00EE0E0F">
        <w:rPr>
          <w:sz w:val="20"/>
          <w:szCs w:val="20"/>
        </w:rPr>
        <w:t xml:space="preserve">er for Habitat for Humanity, The Nature Conservancy, </w:t>
      </w:r>
      <w:r w:rsidR="00C2591D">
        <w:rPr>
          <w:sz w:val="20"/>
          <w:szCs w:val="20"/>
        </w:rPr>
        <w:t xml:space="preserve">and the </w:t>
      </w:r>
      <w:r w:rsidR="00EE0E0F">
        <w:rPr>
          <w:sz w:val="20"/>
          <w:szCs w:val="20"/>
        </w:rPr>
        <w:t>Greater Baton Rouge Food Bank</w:t>
      </w:r>
      <w:r w:rsidR="0084481B">
        <w:rPr>
          <w:sz w:val="20"/>
          <w:szCs w:val="20"/>
        </w:rPr>
        <w:t>.</w:t>
      </w:r>
      <w:r w:rsidR="00EE0E0F">
        <w:rPr>
          <w:sz w:val="20"/>
          <w:szCs w:val="20"/>
        </w:rPr>
        <w:t xml:space="preserve"> </w:t>
      </w:r>
    </w:p>
    <w:p w14:paraId="7B68B659" w14:textId="77777777" w:rsidR="00FC394C" w:rsidRPr="00335545" w:rsidRDefault="00FC394C" w:rsidP="005C792D">
      <w:pPr>
        <w:rPr>
          <w:sz w:val="20"/>
          <w:szCs w:val="20"/>
        </w:rPr>
      </w:pPr>
    </w:p>
    <w:sectPr w:rsidR="00FC394C" w:rsidRPr="00335545" w:rsidSect="005C792D">
      <w:headerReference w:type="first" r:id="rId1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8E41" w14:textId="77777777" w:rsidR="00C143A1" w:rsidRDefault="00C143A1">
      <w:r>
        <w:separator/>
      </w:r>
    </w:p>
  </w:endnote>
  <w:endnote w:type="continuationSeparator" w:id="0">
    <w:p w14:paraId="17B39C86" w14:textId="77777777" w:rsidR="00C143A1" w:rsidRDefault="00C1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3753" w14:textId="77777777" w:rsidR="00C143A1" w:rsidRDefault="00C143A1">
      <w:r>
        <w:separator/>
      </w:r>
    </w:p>
  </w:footnote>
  <w:footnote w:type="continuationSeparator" w:id="0">
    <w:p w14:paraId="61C1642B" w14:textId="77777777" w:rsidR="00C143A1" w:rsidRDefault="00C1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657C" w14:textId="026E1328" w:rsidR="00EE0E0F" w:rsidRPr="0052049D" w:rsidRDefault="00EE0E0F" w:rsidP="00D20A9A">
    <w:pPr>
      <w:pStyle w:val="Header"/>
      <w:tabs>
        <w:tab w:val="clear" w:pos="8640"/>
        <w:tab w:val="right" w:pos="9360"/>
      </w:tabs>
      <w:ind w:left="-1080" w:right="-720"/>
      <w:jc w:val="center"/>
      <w:rPr>
        <w:sz w:val="36"/>
        <w:szCs w:val="36"/>
      </w:rPr>
    </w:pPr>
    <w:r w:rsidRPr="0052049D">
      <w:rPr>
        <w:sz w:val="36"/>
        <w:szCs w:val="36"/>
      </w:rPr>
      <w:t xml:space="preserve">HARRIS </w:t>
    </w:r>
    <w:r w:rsidR="00D20A9A">
      <w:rPr>
        <w:sz w:val="36"/>
        <w:szCs w:val="36"/>
      </w:rPr>
      <w:t xml:space="preserve">COLIN </w:t>
    </w:r>
    <w:r w:rsidRPr="0052049D">
      <w:rPr>
        <w:sz w:val="36"/>
        <w:szCs w:val="36"/>
      </w:rPr>
      <w:t>BIENN</w:t>
    </w:r>
    <w:r w:rsidR="00D20A9A">
      <w:rPr>
        <w:sz w:val="36"/>
        <w:szCs w:val="36"/>
      </w:rPr>
      <w:t>, B.S. Eng</w:t>
    </w:r>
    <w:r w:rsidR="00C90D93">
      <w:rPr>
        <w:sz w:val="36"/>
        <w:szCs w:val="36"/>
      </w:rPr>
      <w:t>.</w:t>
    </w:r>
  </w:p>
  <w:p w14:paraId="34EE0A62" w14:textId="4285FD4B" w:rsidR="00EE0E0F" w:rsidRDefault="00D20A9A" w:rsidP="00270C74">
    <w:pPr>
      <w:pStyle w:val="Header"/>
      <w:tabs>
        <w:tab w:val="clear" w:pos="8640"/>
        <w:tab w:val="right" w:pos="9360"/>
      </w:tabs>
      <w:ind w:left="-1080" w:right="-720"/>
      <w:jc w:val="center"/>
      <w:rPr>
        <w:sz w:val="20"/>
        <w:szCs w:val="20"/>
      </w:rPr>
    </w:pPr>
    <w:r>
      <w:rPr>
        <w:sz w:val="20"/>
        <w:szCs w:val="20"/>
      </w:rPr>
      <w:t>614</w:t>
    </w:r>
    <w:r w:rsidR="00EE0E0F" w:rsidRPr="0052049D">
      <w:rPr>
        <w:sz w:val="20"/>
        <w:szCs w:val="20"/>
      </w:rPr>
      <w:t xml:space="preserve"> </w:t>
    </w:r>
    <w:r>
      <w:rPr>
        <w:sz w:val="20"/>
        <w:szCs w:val="20"/>
      </w:rPr>
      <w:t>Drehr Avenue</w:t>
    </w:r>
    <w:r w:rsidR="00EE0E0F" w:rsidRPr="0052049D">
      <w:rPr>
        <w:sz w:val="20"/>
        <w:szCs w:val="20"/>
      </w:rPr>
      <w:t xml:space="preserve"> | Baton Rouge, LA. 7080</w:t>
    </w:r>
    <w:r>
      <w:rPr>
        <w:sz w:val="20"/>
        <w:szCs w:val="20"/>
      </w:rPr>
      <w:t>6</w:t>
    </w:r>
    <w:r w:rsidR="00EE0E0F" w:rsidRPr="0052049D">
      <w:rPr>
        <w:sz w:val="20"/>
        <w:szCs w:val="20"/>
      </w:rPr>
      <w:t xml:space="preserve"> | 404.717.2104 | </w:t>
    </w:r>
    <w:hyperlink r:id="rId1" w:history="1">
      <w:r w:rsidR="005C792D" w:rsidRPr="00C42D2F">
        <w:rPr>
          <w:rStyle w:val="Hyperlink"/>
          <w:sz w:val="20"/>
          <w:szCs w:val="20"/>
        </w:rPr>
        <w:t>harris.bienn@gmail.com</w:t>
      </w:r>
    </w:hyperlink>
  </w:p>
  <w:p w14:paraId="68F7AA6E" w14:textId="3535450A" w:rsidR="005C792D" w:rsidRPr="0052049D" w:rsidRDefault="005061EB" w:rsidP="00D20A9A">
    <w:pPr>
      <w:pStyle w:val="Header"/>
      <w:tabs>
        <w:tab w:val="clear" w:pos="8640"/>
        <w:tab w:val="right" w:pos="9360"/>
      </w:tabs>
      <w:ind w:left="-1080" w:right="-720"/>
      <w:jc w:val="center"/>
      <w:rPr>
        <w:sz w:val="20"/>
        <w:szCs w:val="20"/>
      </w:rPr>
    </w:pPr>
    <w:hyperlink r:id="rId2" w:history="1">
      <w:r w:rsidR="005C792D" w:rsidRPr="005C792D">
        <w:rPr>
          <w:rStyle w:val="Hyperlink"/>
          <w:sz w:val="20"/>
          <w:szCs w:val="20"/>
        </w:rPr>
        <w:t>LinkedIn</w:t>
      </w:r>
    </w:hyperlink>
    <w:r w:rsidR="005C792D">
      <w:rPr>
        <w:sz w:val="20"/>
        <w:szCs w:val="20"/>
      </w:rPr>
      <w:t xml:space="preserve"> | </w:t>
    </w:r>
    <w:hyperlink r:id="rId3" w:history="1">
      <w:r w:rsidR="005C792D" w:rsidRPr="005C792D">
        <w:rPr>
          <w:rStyle w:val="Hyperlink"/>
          <w:sz w:val="20"/>
          <w:szCs w:val="20"/>
        </w:rPr>
        <w:t>ResearchGate</w:t>
      </w:r>
    </w:hyperlink>
  </w:p>
  <w:p w14:paraId="2B111E41" w14:textId="77777777" w:rsidR="00EE0E0F" w:rsidRDefault="00EE0E0F" w:rsidP="00C93A12">
    <w:pPr>
      <w:pStyle w:val="Header"/>
      <w:tabs>
        <w:tab w:val="clear" w:pos="8640"/>
        <w:tab w:val="right" w:pos="9360"/>
      </w:tabs>
      <w:ind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CFD"/>
    <w:rsid w:val="00093276"/>
    <w:rsid w:val="000E62BF"/>
    <w:rsid w:val="000E6BE5"/>
    <w:rsid w:val="00112CFD"/>
    <w:rsid w:val="00141D2A"/>
    <w:rsid w:val="00176DCC"/>
    <w:rsid w:val="001B3AB5"/>
    <w:rsid w:val="001B479A"/>
    <w:rsid w:val="001C0052"/>
    <w:rsid w:val="001D0F29"/>
    <w:rsid w:val="001F78C9"/>
    <w:rsid w:val="002114A2"/>
    <w:rsid w:val="00270C74"/>
    <w:rsid w:val="002D1DAF"/>
    <w:rsid w:val="003172FE"/>
    <w:rsid w:val="00335545"/>
    <w:rsid w:val="003B6933"/>
    <w:rsid w:val="00463EAC"/>
    <w:rsid w:val="005061EB"/>
    <w:rsid w:val="00515DFC"/>
    <w:rsid w:val="0052049D"/>
    <w:rsid w:val="00521300"/>
    <w:rsid w:val="00570D60"/>
    <w:rsid w:val="005C792D"/>
    <w:rsid w:val="005D1553"/>
    <w:rsid w:val="0071787F"/>
    <w:rsid w:val="007324A9"/>
    <w:rsid w:val="007447DC"/>
    <w:rsid w:val="007D60CD"/>
    <w:rsid w:val="007F2E3A"/>
    <w:rsid w:val="0084481B"/>
    <w:rsid w:val="00871730"/>
    <w:rsid w:val="00890776"/>
    <w:rsid w:val="008B1530"/>
    <w:rsid w:val="008D478F"/>
    <w:rsid w:val="009267F1"/>
    <w:rsid w:val="0093517D"/>
    <w:rsid w:val="009756BB"/>
    <w:rsid w:val="009D6398"/>
    <w:rsid w:val="009F4D7C"/>
    <w:rsid w:val="00A91047"/>
    <w:rsid w:val="00A92242"/>
    <w:rsid w:val="00B076B2"/>
    <w:rsid w:val="00B45FA7"/>
    <w:rsid w:val="00BA4AFC"/>
    <w:rsid w:val="00BE7B35"/>
    <w:rsid w:val="00BF2874"/>
    <w:rsid w:val="00BF65F9"/>
    <w:rsid w:val="00C143A1"/>
    <w:rsid w:val="00C2591D"/>
    <w:rsid w:val="00C46F41"/>
    <w:rsid w:val="00C90D93"/>
    <w:rsid w:val="00C93A12"/>
    <w:rsid w:val="00CF028C"/>
    <w:rsid w:val="00D12BF1"/>
    <w:rsid w:val="00D20A9A"/>
    <w:rsid w:val="00DC3536"/>
    <w:rsid w:val="00DD77DD"/>
    <w:rsid w:val="00E01C9C"/>
    <w:rsid w:val="00EA283F"/>
    <w:rsid w:val="00EB2C6B"/>
    <w:rsid w:val="00EC30F4"/>
    <w:rsid w:val="00EC3772"/>
    <w:rsid w:val="00EE0E0F"/>
    <w:rsid w:val="00EF3BD8"/>
    <w:rsid w:val="00F54F46"/>
    <w:rsid w:val="00F76D45"/>
    <w:rsid w:val="00FC394C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DF2C02"/>
  <w14:defaultImageDpi w14:val="300"/>
  <w15:chartTrackingRefBased/>
  <w15:docId w15:val="{3A0B8F2E-2D20-41B3-BDB4-C1A02892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A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A1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79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4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61/(ASCE)HY.1943-7900.000165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oi.org/10.34237/1008819" TargetMode="External"/><Relationship Id="rId17" Type="http://schemas.openxmlformats.org/officeDocument/2006/relationships/hyperlink" Target="mailto:jpardue@l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willson@l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10109-019-00313-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emmerling@thewaterinstitute.org" TargetMode="External"/><Relationship Id="rId10" Type="http://schemas.openxmlformats.org/officeDocument/2006/relationships/hyperlink" Target="https://doi.org/10.1016/j.ecoena.2019.100015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016/j.ecolind.2017.10.005" TargetMode="External"/><Relationship Id="rId14" Type="http://schemas.openxmlformats.org/officeDocument/2006/relationships/hyperlink" Target="https://doi.org/10.34237/100881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profile/Harris_Bienn" TargetMode="External"/><Relationship Id="rId2" Type="http://schemas.openxmlformats.org/officeDocument/2006/relationships/hyperlink" Target="https://www.linkedin.com/in/harris-bienn-94a28785/" TargetMode="External"/><Relationship Id="rId1" Type="http://schemas.openxmlformats.org/officeDocument/2006/relationships/hyperlink" Target="mailto:harris.bie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42F551FDEEF458026F84BEE36CFC7" ma:contentTypeVersion="0" ma:contentTypeDescription="Create a new document." ma:contentTypeScope="" ma:versionID="3c40262ab265b1b2331b9c6370bbe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7A240-5893-41DA-ABF6-8D4083B41836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7e03830-ffb0-43e9-97bf-7a27cae5a30e"/>
    <ds:schemaRef ds:uri="cec7c833-8b24-4977-9765-16dd3a4c8d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9995E5-3264-49F4-9823-F90F132D6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DB418-9776-45C2-AAFB-D1E2B92C2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SUMMARY </vt:lpstr>
    </vt:vector>
  </TitlesOfParts>
  <Company>Jacobs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SUMMARY </dc:title>
  <dc:subject/>
  <dc:creator>nrdtest</dc:creator>
  <cp:keywords/>
  <dc:description/>
  <cp:lastModifiedBy>Harris Bienn</cp:lastModifiedBy>
  <cp:revision>2</cp:revision>
  <cp:lastPrinted>2013-04-22T15:46:00Z</cp:lastPrinted>
  <dcterms:created xsi:type="dcterms:W3CDTF">2020-06-10T17:38:00Z</dcterms:created>
  <dcterms:modified xsi:type="dcterms:W3CDTF">2020-06-10T17:38:00Z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0x01010019642F551FDEEF458026F84BEE36CFC7</vt:lpwstr>
  </property>
</Properties>
</file>